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009" w14:textId="32C55E76" w:rsidR="00322A2D" w:rsidRPr="0082251C" w:rsidRDefault="00BA2F8D" w:rsidP="00322A2D">
      <w:pPr>
        <w:widowControl w:val="0"/>
        <w:autoSpaceDE w:val="0"/>
        <w:autoSpaceDN w:val="0"/>
        <w:spacing w:before="10" w:after="0" w:line="266" w:lineRule="exact"/>
        <w:jc w:val="right"/>
        <w:rPr>
          <w:rFonts w:ascii="Times New Roman" w:hAnsi="Times New Roman" w:cs="Times New Roman"/>
          <w:color w:val="000000"/>
          <w:sz w:val="28"/>
          <w:szCs w:val="24"/>
          <w:lang w:val="ru-RU"/>
        </w:rPr>
      </w:pPr>
      <w:r>
        <w:rPr>
          <w:rFonts w:ascii="Times New Roman" w:hAnsi="Times New Roman" w:cs="Times New Roman"/>
          <w:sz w:val="24"/>
          <w:szCs w:val="24"/>
          <w:lang w:val="ru-RU"/>
        </w:rPr>
        <w:t>31</w:t>
      </w:r>
      <w:r w:rsidR="0082251C" w:rsidRPr="0082251C">
        <w:rPr>
          <w:rFonts w:ascii="Times New Roman" w:hAnsi="Times New Roman" w:cs="Times New Roman"/>
          <w:sz w:val="24"/>
          <w:szCs w:val="24"/>
          <w:lang w:val="ru-RU"/>
        </w:rPr>
        <w:t xml:space="preserve"> </w:t>
      </w:r>
      <w:r>
        <w:rPr>
          <w:rFonts w:ascii="Times New Roman" w:hAnsi="Times New Roman" w:cs="Times New Roman"/>
          <w:sz w:val="24"/>
          <w:szCs w:val="24"/>
        </w:rPr>
        <w:t>Mart</w:t>
      </w:r>
      <w:r w:rsidR="0082251C" w:rsidRPr="0082251C">
        <w:rPr>
          <w:rFonts w:ascii="Times New Roman" w:hAnsi="Times New Roman" w:cs="Times New Roman"/>
          <w:sz w:val="24"/>
          <w:szCs w:val="24"/>
          <w:lang w:val="ru-RU"/>
        </w:rPr>
        <w:t xml:space="preserve"> 202</w:t>
      </w:r>
      <w:r>
        <w:rPr>
          <w:rFonts w:ascii="Times New Roman" w:hAnsi="Times New Roman" w:cs="Times New Roman"/>
          <w:sz w:val="24"/>
          <w:szCs w:val="24"/>
        </w:rPr>
        <w:t>3</w:t>
      </w:r>
      <w:r w:rsidR="0082251C" w:rsidRPr="0082251C">
        <w:rPr>
          <w:rFonts w:ascii="Times New Roman" w:hAnsi="Times New Roman" w:cs="Times New Roman"/>
          <w:sz w:val="24"/>
          <w:szCs w:val="24"/>
          <w:lang w:val="ru-RU"/>
        </w:rPr>
        <w:t xml:space="preserve"> </w:t>
      </w:r>
      <w:proofErr w:type="spellStart"/>
      <w:r w:rsidR="0082251C" w:rsidRPr="0082251C">
        <w:rPr>
          <w:rFonts w:ascii="Times New Roman" w:hAnsi="Times New Roman" w:cs="Times New Roman"/>
          <w:sz w:val="24"/>
          <w:szCs w:val="24"/>
        </w:rPr>
        <w:t>tarihli</w:t>
      </w:r>
      <w:proofErr w:type="spellEnd"/>
      <w:r w:rsidR="0082251C" w:rsidRPr="0082251C">
        <w:rPr>
          <w:rFonts w:ascii="Times New Roman" w:hAnsi="Times New Roman" w:cs="Times New Roman"/>
          <w:sz w:val="24"/>
          <w:szCs w:val="24"/>
          <w:lang w:val="ru-RU"/>
        </w:rPr>
        <w:t xml:space="preserve"> </w:t>
      </w:r>
      <w:r w:rsidR="0082251C" w:rsidRPr="0082251C">
        <w:rPr>
          <w:rFonts w:ascii="Times New Roman" w:hAnsi="Times New Roman" w:cs="Times New Roman"/>
          <w:sz w:val="24"/>
          <w:szCs w:val="24"/>
        </w:rPr>
        <w:t>ve</w:t>
      </w:r>
      <w:r w:rsidR="0082251C" w:rsidRPr="0082251C">
        <w:rPr>
          <w:rFonts w:ascii="Times New Roman" w:hAnsi="Times New Roman" w:cs="Times New Roman"/>
          <w:sz w:val="24"/>
          <w:szCs w:val="24"/>
          <w:lang w:val="ru-RU"/>
        </w:rPr>
        <w:t xml:space="preserve"> </w:t>
      </w:r>
      <w:r>
        <w:rPr>
          <w:rFonts w:ascii="Times New Roman" w:hAnsi="Times New Roman" w:cs="Times New Roman"/>
          <w:sz w:val="24"/>
          <w:szCs w:val="24"/>
        </w:rPr>
        <w:t>8</w:t>
      </w:r>
      <w:r w:rsidR="0082251C" w:rsidRPr="0082251C">
        <w:rPr>
          <w:rFonts w:ascii="Times New Roman" w:hAnsi="Times New Roman" w:cs="Times New Roman"/>
          <w:sz w:val="24"/>
          <w:szCs w:val="24"/>
          <w:lang w:val="ru-RU"/>
        </w:rPr>
        <w:t xml:space="preserve"> </w:t>
      </w:r>
      <w:r w:rsidR="0082251C" w:rsidRPr="0082251C">
        <w:rPr>
          <w:rFonts w:ascii="Times New Roman" w:hAnsi="Times New Roman" w:cs="Times New Roman"/>
          <w:sz w:val="24"/>
          <w:szCs w:val="24"/>
        </w:rPr>
        <w:t>say</w:t>
      </w:r>
      <w:r w:rsidR="0082251C" w:rsidRPr="0082251C">
        <w:rPr>
          <w:rFonts w:ascii="Times New Roman" w:hAnsi="Times New Roman" w:cs="Times New Roman"/>
          <w:sz w:val="24"/>
          <w:szCs w:val="24"/>
          <w:lang w:val="ru-RU"/>
        </w:rPr>
        <w:t>ı</w:t>
      </w:r>
      <w:r w:rsidR="0082251C" w:rsidRPr="0082251C">
        <w:rPr>
          <w:rFonts w:ascii="Times New Roman" w:hAnsi="Times New Roman" w:cs="Times New Roman"/>
          <w:sz w:val="24"/>
          <w:szCs w:val="24"/>
        </w:rPr>
        <w:t>l</w:t>
      </w:r>
      <w:r w:rsidR="0082251C" w:rsidRPr="0082251C">
        <w:rPr>
          <w:rFonts w:ascii="Times New Roman" w:hAnsi="Times New Roman" w:cs="Times New Roman"/>
          <w:sz w:val="24"/>
          <w:szCs w:val="24"/>
          <w:lang w:val="ru-RU"/>
        </w:rPr>
        <w:t xml:space="preserve">ı </w:t>
      </w:r>
      <w:proofErr w:type="spellStart"/>
      <w:r w:rsidR="0082251C" w:rsidRPr="0082251C">
        <w:rPr>
          <w:rFonts w:ascii="Times New Roman" w:hAnsi="Times New Roman" w:cs="Times New Roman"/>
          <w:sz w:val="24"/>
          <w:szCs w:val="24"/>
        </w:rPr>
        <w:t>karar</w:t>
      </w:r>
      <w:proofErr w:type="spellEnd"/>
      <w:r w:rsidR="0082251C" w:rsidRPr="0082251C">
        <w:rPr>
          <w:rFonts w:ascii="Times New Roman" w:hAnsi="Times New Roman" w:cs="Times New Roman"/>
          <w:sz w:val="24"/>
          <w:szCs w:val="24"/>
          <w:lang w:val="ru-RU"/>
        </w:rPr>
        <w:t xml:space="preserve"> </w:t>
      </w:r>
      <w:proofErr w:type="spellStart"/>
      <w:r w:rsidR="0082251C" w:rsidRPr="0082251C">
        <w:rPr>
          <w:rFonts w:ascii="Times New Roman" w:hAnsi="Times New Roman" w:cs="Times New Roman"/>
          <w:sz w:val="24"/>
          <w:szCs w:val="24"/>
        </w:rPr>
        <w:t>ile</w:t>
      </w:r>
      <w:proofErr w:type="spellEnd"/>
      <w:r w:rsidR="0082251C" w:rsidRPr="0082251C">
        <w:rPr>
          <w:rFonts w:ascii="Times New Roman" w:hAnsi="Times New Roman" w:cs="Times New Roman"/>
          <w:sz w:val="24"/>
          <w:szCs w:val="24"/>
          <w:lang w:val="ru-RU"/>
        </w:rPr>
        <w:br/>
        <w:t>“</w:t>
      </w:r>
      <w:proofErr w:type="spellStart"/>
      <w:r w:rsidR="0082251C" w:rsidRPr="0082251C">
        <w:rPr>
          <w:rFonts w:ascii="Times New Roman" w:hAnsi="Times New Roman" w:cs="Times New Roman"/>
          <w:sz w:val="24"/>
          <w:szCs w:val="24"/>
        </w:rPr>
        <w:t>Kazakistan</w:t>
      </w:r>
      <w:proofErr w:type="spellEnd"/>
      <w:r w:rsidR="0082251C" w:rsidRPr="0082251C">
        <w:rPr>
          <w:rFonts w:ascii="Times New Roman" w:hAnsi="Times New Roman" w:cs="Times New Roman"/>
          <w:sz w:val="24"/>
          <w:szCs w:val="24"/>
          <w:lang w:val="ru-RU"/>
        </w:rPr>
        <w:t xml:space="preserve"> </w:t>
      </w:r>
      <w:proofErr w:type="spellStart"/>
      <w:r w:rsidR="0082251C" w:rsidRPr="0082251C">
        <w:rPr>
          <w:rFonts w:ascii="Times New Roman" w:hAnsi="Times New Roman" w:cs="Times New Roman"/>
          <w:sz w:val="24"/>
          <w:szCs w:val="24"/>
        </w:rPr>
        <w:t>Mevduat</w:t>
      </w:r>
      <w:proofErr w:type="spellEnd"/>
      <w:r w:rsidR="0082251C" w:rsidRPr="0082251C">
        <w:rPr>
          <w:rFonts w:ascii="Times New Roman" w:hAnsi="Times New Roman" w:cs="Times New Roman"/>
          <w:sz w:val="24"/>
          <w:szCs w:val="24"/>
          <w:lang w:val="ru-RU"/>
        </w:rPr>
        <w:t xml:space="preserve"> </w:t>
      </w:r>
      <w:proofErr w:type="spellStart"/>
      <w:r w:rsidR="0082251C" w:rsidRPr="0082251C">
        <w:rPr>
          <w:rFonts w:ascii="Times New Roman" w:hAnsi="Times New Roman" w:cs="Times New Roman"/>
          <w:sz w:val="24"/>
          <w:szCs w:val="24"/>
        </w:rPr>
        <w:t>Sigorta</w:t>
      </w:r>
      <w:proofErr w:type="spellEnd"/>
      <w:r w:rsidR="0082251C" w:rsidRPr="0082251C">
        <w:rPr>
          <w:rFonts w:ascii="Times New Roman" w:hAnsi="Times New Roman" w:cs="Times New Roman"/>
          <w:sz w:val="24"/>
          <w:szCs w:val="24"/>
          <w:lang w:val="ru-RU"/>
        </w:rPr>
        <w:t xml:space="preserve"> </w:t>
      </w:r>
      <w:proofErr w:type="spellStart"/>
      <w:r w:rsidR="0082251C" w:rsidRPr="0082251C">
        <w:rPr>
          <w:rFonts w:ascii="Times New Roman" w:hAnsi="Times New Roman" w:cs="Times New Roman"/>
          <w:sz w:val="24"/>
          <w:szCs w:val="24"/>
        </w:rPr>
        <w:t>Fonu</w:t>
      </w:r>
      <w:proofErr w:type="spellEnd"/>
      <w:r w:rsidR="0082251C" w:rsidRPr="0082251C">
        <w:rPr>
          <w:rFonts w:ascii="Times New Roman" w:hAnsi="Times New Roman" w:cs="Times New Roman"/>
          <w:sz w:val="24"/>
          <w:szCs w:val="24"/>
          <w:lang w:val="ru-RU"/>
        </w:rPr>
        <w:t xml:space="preserve">” </w:t>
      </w:r>
      <w:r w:rsidR="0082251C" w:rsidRPr="0082251C">
        <w:rPr>
          <w:rFonts w:ascii="Times New Roman" w:hAnsi="Times New Roman" w:cs="Times New Roman"/>
          <w:sz w:val="24"/>
          <w:szCs w:val="24"/>
        </w:rPr>
        <w:t>A</w:t>
      </w:r>
      <w:r w:rsidR="0082251C">
        <w:rPr>
          <w:rFonts w:ascii="Times New Roman" w:hAnsi="Times New Roman" w:cs="Times New Roman"/>
          <w:sz w:val="24"/>
          <w:szCs w:val="24"/>
          <w:lang w:val="ru-RU"/>
        </w:rPr>
        <w:t>.</w:t>
      </w:r>
      <w:r w:rsidR="0082251C" w:rsidRPr="0082251C">
        <w:rPr>
          <w:rFonts w:ascii="Times New Roman" w:hAnsi="Times New Roman" w:cs="Times New Roman"/>
          <w:sz w:val="24"/>
          <w:szCs w:val="24"/>
          <w:lang w:val="ru-RU"/>
        </w:rPr>
        <w:t>Ş</w:t>
      </w:r>
      <w:r w:rsidR="0082251C">
        <w:rPr>
          <w:rFonts w:ascii="Times New Roman" w:hAnsi="Times New Roman" w:cs="Times New Roman"/>
          <w:sz w:val="24"/>
          <w:szCs w:val="24"/>
          <w:lang w:val="ru-RU"/>
        </w:rPr>
        <w:t>.</w:t>
      </w:r>
      <w:r w:rsidR="0082251C" w:rsidRPr="0082251C">
        <w:rPr>
          <w:rFonts w:ascii="Times New Roman" w:hAnsi="Times New Roman" w:cs="Times New Roman"/>
          <w:sz w:val="24"/>
          <w:szCs w:val="24"/>
          <w:lang w:val="ru-RU"/>
        </w:rPr>
        <w:br/>
      </w:r>
      <w:r w:rsidR="0082251C" w:rsidRPr="0082251C">
        <w:rPr>
          <w:rFonts w:ascii="Times New Roman" w:hAnsi="Times New Roman" w:cs="Times New Roman"/>
          <w:sz w:val="24"/>
          <w:szCs w:val="24"/>
        </w:rPr>
        <w:t>Y</w:t>
      </w:r>
      <w:r w:rsidR="0082251C" w:rsidRPr="0082251C">
        <w:rPr>
          <w:rFonts w:ascii="Times New Roman" w:hAnsi="Times New Roman" w:cs="Times New Roman"/>
          <w:sz w:val="24"/>
          <w:szCs w:val="24"/>
          <w:lang w:val="ru-RU"/>
        </w:rPr>
        <w:t>ö</w:t>
      </w:r>
      <w:proofErr w:type="spellStart"/>
      <w:r w:rsidR="0082251C" w:rsidRPr="0082251C">
        <w:rPr>
          <w:rFonts w:ascii="Times New Roman" w:hAnsi="Times New Roman" w:cs="Times New Roman"/>
          <w:sz w:val="24"/>
          <w:szCs w:val="24"/>
        </w:rPr>
        <w:t>netim</w:t>
      </w:r>
      <w:proofErr w:type="spellEnd"/>
      <w:r w:rsidR="0082251C" w:rsidRPr="0082251C">
        <w:rPr>
          <w:rFonts w:ascii="Times New Roman" w:hAnsi="Times New Roman" w:cs="Times New Roman"/>
          <w:sz w:val="24"/>
          <w:szCs w:val="24"/>
          <w:lang w:val="ru-RU"/>
        </w:rPr>
        <w:t xml:space="preserve"> </w:t>
      </w:r>
      <w:r w:rsidR="0082251C" w:rsidRPr="0082251C">
        <w:rPr>
          <w:rFonts w:ascii="Times New Roman" w:hAnsi="Times New Roman" w:cs="Times New Roman"/>
          <w:sz w:val="24"/>
          <w:szCs w:val="24"/>
        </w:rPr>
        <w:t>Kurulu</w:t>
      </w:r>
      <w:r w:rsidR="0082251C" w:rsidRPr="0082251C">
        <w:rPr>
          <w:rFonts w:ascii="Times New Roman" w:hAnsi="Times New Roman" w:cs="Times New Roman"/>
          <w:sz w:val="24"/>
          <w:szCs w:val="24"/>
          <w:lang w:val="ru-RU"/>
        </w:rPr>
        <w:t xml:space="preserve"> </w:t>
      </w:r>
      <w:proofErr w:type="spellStart"/>
      <w:r w:rsidR="0082251C" w:rsidRPr="0082251C">
        <w:rPr>
          <w:rFonts w:ascii="Times New Roman" w:hAnsi="Times New Roman" w:cs="Times New Roman"/>
          <w:sz w:val="24"/>
          <w:szCs w:val="24"/>
        </w:rPr>
        <w:t>taraf</w:t>
      </w:r>
      <w:proofErr w:type="spellEnd"/>
      <w:r w:rsidR="0082251C" w:rsidRPr="0082251C">
        <w:rPr>
          <w:rFonts w:ascii="Times New Roman" w:hAnsi="Times New Roman" w:cs="Times New Roman"/>
          <w:sz w:val="24"/>
          <w:szCs w:val="24"/>
          <w:lang w:val="ru-RU"/>
        </w:rPr>
        <w:t>ı</w:t>
      </w:r>
      <w:proofErr w:type="spellStart"/>
      <w:r w:rsidR="0082251C" w:rsidRPr="0082251C">
        <w:rPr>
          <w:rFonts w:ascii="Times New Roman" w:hAnsi="Times New Roman" w:cs="Times New Roman"/>
          <w:sz w:val="24"/>
          <w:szCs w:val="24"/>
        </w:rPr>
        <w:t>ndan</w:t>
      </w:r>
      <w:proofErr w:type="spellEnd"/>
      <w:r w:rsidR="0082251C" w:rsidRPr="0082251C">
        <w:rPr>
          <w:rFonts w:ascii="Times New Roman" w:hAnsi="Times New Roman" w:cs="Times New Roman"/>
          <w:sz w:val="24"/>
          <w:szCs w:val="24"/>
          <w:lang w:val="ru-RU"/>
        </w:rPr>
        <w:t xml:space="preserve"> </w:t>
      </w:r>
      <w:proofErr w:type="spellStart"/>
      <w:r w:rsidR="0082251C" w:rsidRPr="0082251C">
        <w:rPr>
          <w:rFonts w:ascii="Times New Roman" w:hAnsi="Times New Roman" w:cs="Times New Roman"/>
          <w:sz w:val="24"/>
          <w:szCs w:val="24"/>
        </w:rPr>
        <w:t>onaylanm</w:t>
      </w:r>
      <w:r w:rsidR="0082251C" w:rsidRPr="0082251C">
        <w:rPr>
          <w:rFonts w:ascii="Times New Roman" w:hAnsi="Times New Roman" w:cs="Times New Roman"/>
          <w:sz w:val="24"/>
          <w:szCs w:val="24"/>
          <w:lang w:val="ru-RU"/>
        </w:rPr>
        <w:t>ış</w:t>
      </w:r>
      <w:proofErr w:type="spellEnd"/>
      <w:r w:rsidR="0082251C" w:rsidRPr="0082251C">
        <w:rPr>
          <w:rFonts w:ascii="Times New Roman" w:hAnsi="Times New Roman" w:cs="Times New Roman"/>
          <w:sz w:val="24"/>
          <w:szCs w:val="24"/>
        </w:rPr>
        <w:t>t</w:t>
      </w:r>
      <w:r w:rsidR="0082251C" w:rsidRPr="0082251C">
        <w:rPr>
          <w:rFonts w:ascii="Times New Roman" w:hAnsi="Times New Roman" w:cs="Times New Roman"/>
          <w:sz w:val="24"/>
          <w:szCs w:val="24"/>
          <w:lang w:val="ru-RU"/>
        </w:rPr>
        <w:t>ı</w:t>
      </w:r>
      <w:r w:rsidR="0082251C" w:rsidRPr="0082251C">
        <w:rPr>
          <w:rFonts w:ascii="Times New Roman" w:hAnsi="Times New Roman" w:cs="Times New Roman"/>
          <w:sz w:val="24"/>
          <w:szCs w:val="24"/>
        </w:rPr>
        <w:t>r</w:t>
      </w:r>
    </w:p>
    <w:p w14:paraId="5BEB22D7" w14:textId="66A47F33" w:rsidR="00322A2D" w:rsidRPr="007631C0" w:rsidRDefault="00322A2D" w:rsidP="00322A2D">
      <w:pPr>
        <w:widowControl w:val="0"/>
        <w:autoSpaceDE w:val="0"/>
        <w:autoSpaceDN w:val="0"/>
        <w:spacing w:before="10" w:after="0" w:line="266" w:lineRule="exact"/>
        <w:jc w:val="right"/>
        <w:rPr>
          <w:rFonts w:ascii="Times New Roman" w:hAnsi="Times New Roman" w:cs="Times New Roman"/>
          <w:color w:val="000000"/>
          <w:sz w:val="24"/>
          <w:lang w:val="ru-RU"/>
        </w:rPr>
      </w:pPr>
    </w:p>
    <w:p w14:paraId="6BCAEB6F" w14:textId="18CE847B" w:rsidR="00322A2D" w:rsidRPr="0082251C" w:rsidRDefault="0082251C" w:rsidP="00322A2D">
      <w:pPr>
        <w:widowControl w:val="0"/>
        <w:autoSpaceDE w:val="0"/>
        <w:autoSpaceDN w:val="0"/>
        <w:spacing w:before="0" w:after="0" w:line="311" w:lineRule="exact"/>
        <w:jc w:val="right"/>
        <w:rPr>
          <w:rFonts w:ascii="Times New Roman" w:hAnsi="Times New Roman" w:cs="Times New Roman"/>
          <w:color w:val="000000"/>
          <w:sz w:val="36"/>
          <w:szCs w:val="28"/>
        </w:rPr>
      </w:pPr>
      <w:r w:rsidRPr="0082251C">
        <w:rPr>
          <w:rFonts w:ascii="Times New Roman" w:hAnsi="Times New Roman" w:cs="Times New Roman"/>
          <w:sz w:val="28"/>
          <w:szCs w:val="28"/>
        </w:rPr>
        <w:t>Form</w:t>
      </w:r>
    </w:p>
    <w:p w14:paraId="21FEC700" w14:textId="67D43AF9" w:rsidR="00322A2D" w:rsidRPr="0082251C" w:rsidRDefault="00322A2D" w:rsidP="00322A2D">
      <w:pPr>
        <w:widowControl w:val="0"/>
        <w:autoSpaceDE w:val="0"/>
        <w:autoSpaceDN w:val="0"/>
        <w:spacing w:before="0" w:after="0" w:line="311" w:lineRule="exact"/>
        <w:jc w:val="right"/>
        <w:rPr>
          <w:rFonts w:ascii="Times New Roman" w:hAnsi="Times New Roman" w:cs="Times New Roman"/>
          <w:color w:val="000000"/>
          <w:sz w:val="28"/>
        </w:rPr>
      </w:pPr>
    </w:p>
    <w:p w14:paraId="53E74F41" w14:textId="77777777" w:rsidR="0021410D" w:rsidRPr="0082251C" w:rsidRDefault="0021410D" w:rsidP="00322A2D">
      <w:pPr>
        <w:widowControl w:val="0"/>
        <w:autoSpaceDE w:val="0"/>
        <w:autoSpaceDN w:val="0"/>
        <w:spacing w:before="0" w:after="0" w:line="311" w:lineRule="exact"/>
        <w:jc w:val="right"/>
        <w:rPr>
          <w:rFonts w:ascii="Times New Roman" w:hAnsi="Times New Roman" w:cs="Times New Roman"/>
          <w:color w:val="000000"/>
          <w:sz w:val="28"/>
        </w:rPr>
      </w:pPr>
    </w:p>
    <w:p w14:paraId="18794F7F" w14:textId="00EB89AA" w:rsidR="00322A2D" w:rsidRPr="0082251C" w:rsidRDefault="00322A2D" w:rsidP="00322A2D">
      <w:pPr>
        <w:widowControl w:val="0"/>
        <w:autoSpaceDE w:val="0"/>
        <w:autoSpaceDN w:val="0"/>
        <w:spacing w:before="0" w:after="0" w:line="311" w:lineRule="exact"/>
        <w:jc w:val="right"/>
        <w:rPr>
          <w:rFonts w:ascii="Times New Roman" w:hAnsi="Times New Roman" w:cs="Times New Roman"/>
          <w:color w:val="000000"/>
          <w:sz w:val="28"/>
        </w:rPr>
      </w:pPr>
    </w:p>
    <w:p w14:paraId="77353154" w14:textId="54C8ACD5" w:rsidR="00322A2D" w:rsidRPr="0082251C" w:rsidRDefault="0082251C" w:rsidP="00322A2D">
      <w:pPr>
        <w:widowControl w:val="0"/>
        <w:autoSpaceDE w:val="0"/>
        <w:autoSpaceDN w:val="0"/>
        <w:spacing w:before="0" w:after="0" w:line="266" w:lineRule="exact"/>
        <w:jc w:val="center"/>
        <w:rPr>
          <w:rFonts w:ascii="Times New Roman" w:hAnsi="Times New Roman" w:cs="Times New Roman"/>
          <w:color w:val="000000"/>
          <w:sz w:val="28"/>
          <w:szCs w:val="24"/>
        </w:rPr>
      </w:pPr>
      <w:proofErr w:type="spellStart"/>
      <w:r w:rsidRPr="0082251C">
        <w:rPr>
          <w:rFonts w:ascii="Times New Roman" w:hAnsi="Times New Roman" w:cs="Times New Roman"/>
          <w:sz w:val="24"/>
          <w:szCs w:val="24"/>
        </w:rPr>
        <w:t>Mevduat</w:t>
      </w:r>
      <w:proofErr w:type="spellEnd"/>
      <w:r w:rsidRPr="0082251C">
        <w:rPr>
          <w:rFonts w:ascii="Times New Roman" w:hAnsi="Times New Roman" w:cs="Times New Roman"/>
          <w:sz w:val="24"/>
          <w:szCs w:val="24"/>
        </w:rPr>
        <w:t xml:space="preserve"> </w:t>
      </w:r>
      <w:proofErr w:type="spellStart"/>
      <w:r w:rsidRPr="0082251C">
        <w:rPr>
          <w:rFonts w:ascii="Times New Roman" w:hAnsi="Times New Roman" w:cs="Times New Roman"/>
          <w:sz w:val="24"/>
          <w:szCs w:val="24"/>
        </w:rPr>
        <w:t>Sahibine</w:t>
      </w:r>
      <w:proofErr w:type="spellEnd"/>
      <w:r w:rsidRPr="0082251C">
        <w:rPr>
          <w:rFonts w:ascii="Times New Roman" w:hAnsi="Times New Roman" w:cs="Times New Roman"/>
          <w:sz w:val="24"/>
          <w:szCs w:val="24"/>
        </w:rPr>
        <w:t xml:space="preserve"> </w:t>
      </w:r>
      <w:proofErr w:type="spellStart"/>
      <w:r w:rsidRPr="0082251C">
        <w:rPr>
          <w:rFonts w:ascii="Times New Roman" w:hAnsi="Times New Roman" w:cs="Times New Roman"/>
          <w:sz w:val="24"/>
          <w:szCs w:val="24"/>
        </w:rPr>
        <w:t>Yönelik</w:t>
      </w:r>
      <w:proofErr w:type="spellEnd"/>
      <w:r w:rsidRPr="0082251C">
        <w:rPr>
          <w:rFonts w:ascii="Times New Roman" w:hAnsi="Times New Roman" w:cs="Times New Roman"/>
          <w:sz w:val="24"/>
          <w:szCs w:val="24"/>
        </w:rPr>
        <w:t xml:space="preserve"> </w:t>
      </w:r>
      <w:proofErr w:type="spellStart"/>
      <w:r w:rsidRPr="0082251C">
        <w:rPr>
          <w:rFonts w:ascii="Times New Roman" w:hAnsi="Times New Roman" w:cs="Times New Roman"/>
          <w:sz w:val="24"/>
          <w:szCs w:val="24"/>
        </w:rPr>
        <w:t>Bildirim</w:t>
      </w:r>
      <w:proofErr w:type="spellEnd"/>
    </w:p>
    <w:p w14:paraId="670D0005" w14:textId="05B00004" w:rsidR="00322A2D" w:rsidRPr="0082251C" w:rsidRDefault="00322A2D" w:rsidP="00322A2D">
      <w:pPr>
        <w:widowControl w:val="0"/>
        <w:autoSpaceDE w:val="0"/>
        <w:autoSpaceDN w:val="0"/>
        <w:spacing w:before="0" w:after="0" w:line="311" w:lineRule="exact"/>
        <w:jc w:val="right"/>
        <w:rPr>
          <w:rFonts w:ascii="Times New Roman" w:hAnsi="Times New Roman" w:cs="Times New Roman"/>
          <w:color w:val="000000"/>
          <w:sz w:val="28"/>
        </w:rPr>
      </w:pPr>
    </w:p>
    <w:p w14:paraId="624D91AD" w14:textId="07CCF86F" w:rsidR="00EF74F9" w:rsidRPr="00EF74F9" w:rsidRDefault="0082251C" w:rsidP="00EF74F9">
      <w:pPr>
        <w:pStyle w:val="a3"/>
        <w:widowControl w:val="0"/>
        <w:numPr>
          <w:ilvl w:val="0"/>
          <w:numId w:val="1"/>
        </w:numPr>
        <w:autoSpaceDE w:val="0"/>
        <w:autoSpaceDN w:val="0"/>
        <w:spacing w:before="0" w:after="0" w:line="240" w:lineRule="auto"/>
        <w:ind w:left="0" w:firstLine="709"/>
        <w:rPr>
          <w:rFonts w:ascii="Times New Roman" w:hAnsi="Times New Roman" w:cs="Times New Roman"/>
          <w:sz w:val="16"/>
          <w:szCs w:val="16"/>
        </w:rPr>
      </w:pPr>
      <w:proofErr w:type="spellStart"/>
      <w:r w:rsidRPr="0082251C">
        <w:rPr>
          <w:rFonts w:ascii="Times New Roman" w:hAnsi="Times New Roman" w:cs="Times New Roman"/>
          <w:sz w:val="24"/>
          <w:szCs w:val="24"/>
        </w:rPr>
        <w:t>İşbu</w:t>
      </w:r>
      <w:proofErr w:type="spellEnd"/>
      <w:r w:rsidRPr="0082251C">
        <w:rPr>
          <w:rFonts w:ascii="Times New Roman" w:hAnsi="Times New Roman" w:cs="Times New Roman"/>
          <w:sz w:val="24"/>
          <w:szCs w:val="24"/>
        </w:rPr>
        <w:t xml:space="preserve"> </w:t>
      </w:r>
      <w:proofErr w:type="spellStart"/>
      <w:r w:rsidRPr="0082251C">
        <w:rPr>
          <w:rFonts w:ascii="Times New Roman" w:hAnsi="Times New Roman" w:cs="Times New Roman"/>
          <w:sz w:val="24"/>
          <w:szCs w:val="24"/>
        </w:rPr>
        <w:t>belge</w:t>
      </w:r>
      <w:proofErr w:type="spellEnd"/>
      <w:r w:rsidRPr="0082251C">
        <w:rPr>
          <w:rFonts w:ascii="Times New Roman" w:hAnsi="Times New Roman" w:cs="Times New Roman"/>
          <w:sz w:val="24"/>
          <w:szCs w:val="24"/>
        </w:rPr>
        <w:t xml:space="preserve"> </w:t>
      </w:r>
      <w:proofErr w:type="spellStart"/>
      <w:r w:rsidRPr="0082251C">
        <w:rPr>
          <w:rFonts w:ascii="Times New Roman" w:hAnsi="Times New Roman" w:cs="Times New Roman"/>
          <w:sz w:val="24"/>
          <w:szCs w:val="24"/>
        </w:rPr>
        <w:t>ile</w:t>
      </w:r>
      <w:proofErr w:type="spellEnd"/>
      <w:r w:rsidR="00EF74F9">
        <w:rPr>
          <w:rFonts w:ascii="Times New Roman" w:hAnsi="Times New Roman" w:cs="Times New Roman"/>
          <w:sz w:val="24"/>
          <w:szCs w:val="24"/>
        </w:rPr>
        <w:t xml:space="preserve"> </w:t>
      </w:r>
      <w:r w:rsidRPr="00EF74F9">
        <w:rPr>
          <w:rFonts w:ascii="Times New Roman" w:hAnsi="Times New Roman" w:cs="Times New Roman"/>
          <w:sz w:val="24"/>
          <w:szCs w:val="24"/>
        </w:rPr>
        <w:t>______________________________________________________</w:t>
      </w:r>
      <w:r w:rsidRPr="00EF74F9">
        <w:rPr>
          <w:rFonts w:ascii="Times New Roman" w:hAnsi="Times New Roman" w:cs="Times New Roman"/>
          <w:sz w:val="24"/>
          <w:szCs w:val="24"/>
        </w:rPr>
        <w:br/>
      </w:r>
      <w:r w:rsidRPr="00EF74F9">
        <w:rPr>
          <w:rFonts w:ascii="Times New Roman" w:hAnsi="Times New Roman" w:cs="Times New Roman"/>
          <w:sz w:val="16"/>
          <w:szCs w:val="16"/>
        </w:rPr>
        <w:t xml:space="preserve">                                                                     </w:t>
      </w:r>
      <w:r w:rsidR="00EF74F9">
        <w:rPr>
          <w:rFonts w:ascii="Times New Roman" w:hAnsi="Times New Roman" w:cs="Times New Roman"/>
          <w:sz w:val="16"/>
          <w:szCs w:val="16"/>
        </w:rPr>
        <w:t xml:space="preserve">                      </w:t>
      </w:r>
      <w:proofErr w:type="spellStart"/>
      <w:r w:rsidR="00EF74F9" w:rsidRPr="00EF74F9">
        <w:rPr>
          <w:rFonts w:ascii="Times New Roman" w:hAnsi="Times New Roman" w:cs="Times New Roman"/>
          <w:sz w:val="18"/>
          <w:szCs w:val="18"/>
        </w:rPr>
        <w:t>Kazakistan</w:t>
      </w:r>
      <w:proofErr w:type="spellEnd"/>
      <w:r w:rsidR="00EF74F9" w:rsidRPr="00EF74F9">
        <w:rPr>
          <w:rFonts w:ascii="Times New Roman" w:hAnsi="Times New Roman" w:cs="Times New Roman"/>
          <w:sz w:val="18"/>
          <w:szCs w:val="18"/>
        </w:rPr>
        <w:t xml:space="preserve"> </w:t>
      </w:r>
      <w:proofErr w:type="spellStart"/>
      <w:r w:rsidR="00EF74F9" w:rsidRPr="00EF74F9">
        <w:rPr>
          <w:rFonts w:ascii="Times New Roman" w:hAnsi="Times New Roman" w:cs="Times New Roman"/>
          <w:sz w:val="18"/>
          <w:szCs w:val="18"/>
        </w:rPr>
        <w:t>Cumhuriyeti'nde</w:t>
      </w:r>
      <w:proofErr w:type="spellEnd"/>
      <w:r w:rsidR="00EF74F9" w:rsidRPr="00EF74F9">
        <w:rPr>
          <w:rFonts w:ascii="Times New Roman" w:hAnsi="Times New Roman" w:cs="Times New Roman"/>
          <w:sz w:val="18"/>
          <w:szCs w:val="18"/>
        </w:rPr>
        <w:t xml:space="preserve"> </w:t>
      </w:r>
      <w:proofErr w:type="spellStart"/>
      <w:r w:rsidR="00EF74F9" w:rsidRPr="00EF74F9">
        <w:rPr>
          <w:rFonts w:ascii="Times New Roman" w:hAnsi="Times New Roman" w:cs="Times New Roman"/>
          <w:sz w:val="18"/>
          <w:szCs w:val="18"/>
        </w:rPr>
        <w:t>yerleşik</w:t>
      </w:r>
      <w:proofErr w:type="spellEnd"/>
      <w:r w:rsidR="00EF74F9" w:rsidRPr="00EF74F9">
        <w:rPr>
          <w:rFonts w:ascii="Times New Roman" w:hAnsi="Times New Roman" w:cs="Times New Roman"/>
          <w:sz w:val="18"/>
          <w:szCs w:val="18"/>
        </w:rPr>
        <w:t xml:space="preserve"> </w:t>
      </w:r>
      <w:proofErr w:type="spellStart"/>
      <w:r w:rsidR="00EF74F9" w:rsidRPr="00EF74F9">
        <w:rPr>
          <w:rFonts w:ascii="Times New Roman" w:hAnsi="Times New Roman" w:cs="Times New Roman"/>
          <w:sz w:val="18"/>
          <w:szCs w:val="18"/>
        </w:rPr>
        <w:t>olmayan</w:t>
      </w:r>
      <w:proofErr w:type="spellEnd"/>
      <w:r w:rsidR="00EF74F9" w:rsidRPr="00EF74F9">
        <w:rPr>
          <w:rFonts w:ascii="Times New Roman" w:hAnsi="Times New Roman" w:cs="Times New Roman"/>
          <w:sz w:val="18"/>
          <w:szCs w:val="18"/>
        </w:rPr>
        <w:t xml:space="preserve"> </w:t>
      </w:r>
      <w:proofErr w:type="spellStart"/>
      <w:r w:rsidR="00EF74F9" w:rsidRPr="00EF74F9">
        <w:rPr>
          <w:rFonts w:ascii="Times New Roman" w:hAnsi="Times New Roman" w:cs="Times New Roman"/>
          <w:sz w:val="18"/>
          <w:szCs w:val="18"/>
        </w:rPr>
        <w:t>banka</w:t>
      </w:r>
      <w:proofErr w:type="spellEnd"/>
      <w:r w:rsidR="00EF74F9" w:rsidRPr="00EF74F9">
        <w:rPr>
          <w:rFonts w:ascii="Times New Roman" w:hAnsi="Times New Roman" w:cs="Times New Roman"/>
          <w:sz w:val="18"/>
          <w:szCs w:val="18"/>
        </w:rPr>
        <w:t>/</w:t>
      </w:r>
      <w:proofErr w:type="spellStart"/>
      <w:r w:rsidR="00EF74F9" w:rsidRPr="00EF74F9">
        <w:rPr>
          <w:rFonts w:ascii="Times New Roman" w:hAnsi="Times New Roman" w:cs="Times New Roman"/>
          <w:sz w:val="18"/>
          <w:szCs w:val="18"/>
        </w:rPr>
        <w:t>banka</w:t>
      </w:r>
      <w:proofErr w:type="spellEnd"/>
      <w:r w:rsidR="00EF74F9" w:rsidRPr="00EF74F9">
        <w:rPr>
          <w:rFonts w:ascii="Times New Roman" w:hAnsi="Times New Roman" w:cs="Times New Roman"/>
          <w:sz w:val="18"/>
          <w:szCs w:val="18"/>
        </w:rPr>
        <w:t xml:space="preserve"> </w:t>
      </w:r>
      <w:proofErr w:type="spellStart"/>
      <w:r w:rsidR="00EF74F9" w:rsidRPr="00EF74F9">
        <w:rPr>
          <w:rFonts w:ascii="Times New Roman" w:hAnsi="Times New Roman" w:cs="Times New Roman"/>
          <w:sz w:val="18"/>
          <w:szCs w:val="18"/>
        </w:rPr>
        <w:t>şubesinin</w:t>
      </w:r>
      <w:proofErr w:type="spellEnd"/>
      <w:r w:rsidR="00EF74F9" w:rsidRPr="00EF74F9">
        <w:rPr>
          <w:rFonts w:ascii="Times New Roman" w:hAnsi="Times New Roman" w:cs="Times New Roman"/>
          <w:sz w:val="18"/>
          <w:szCs w:val="18"/>
        </w:rPr>
        <w:t xml:space="preserve"> </w:t>
      </w:r>
      <w:proofErr w:type="spellStart"/>
      <w:r w:rsidR="00EF74F9" w:rsidRPr="00EF74F9">
        <w:rPr>
          <w:rFonts w:ascii="Times New Roman" w:hAnsi="Times New Roman" w:cs="Times New Roman"/>
          <w:sz w:val="18"/>
          <w:szCs w:val="18"/>
        </w:rPr>
        <w:t>adı</w:t>
      </w:r>
      <w:proofErr w:type="spellEnd"/>
    </w:p>
    <w:p w14:paraId="0970FB28" w14:textId="54DA8ECF" w:rsidR="00322A2D" w:rsidRPr="004B21E9" w:rsidRDefault="00EF74F9" w:rsidP="00EF74F9">
      <w:pPr>
        <w:widowControl w:val="0"/>
        <w:autoSpaceDE w:val="0"/>
        <w:autoSpaceDN w:val="0"/>
        <w:spacing w:before="0" w:after="0" w:line="240" w:lineRule="auto"/>
        <w:rPr>
          <w:rFonts w:ascii="Times New Roman" w:hAnsi="Times New Roman" w:cs="Times New Roman"/>
          <w:sz w:val="24"/>
          <w:szCs w:val="24"/>
          <w:lang w:val="ru-RU"/>
        </w:rPr>
      </w:pPr>
      <w:r w:rsidRPr="00EF74F9">
        <w:rPr>
          <w:rFonts w:ascii="Times New Roman" w:hAnsi="Times New Roman" w:cs="Times New Roman"/>
          <w:sz w:val="24"/>
          <w:szCs w:val="24"/>
        </w:rPr>
        <w:t>(</w:t>
      </w:r>
      <w:proofErr w:type="spellStart"/>
      <w:r w:rsidRPr="00EF74F9">
        <w:rPr>
          <w:rFonts w:ascii="Times New Roman" w:hAnsi="Times New Roman" w:cs="Times New Roman"/>
          <w:sz w:val="24"/>
          <w:szCs w:val="24"/>
        </w:rPr>
        <w:t>bundan</w:t>
      </w:r>
      <w:proofErr w:type="spellEnd"/>
      <w:r w:rsidRPr="00EF74F9">
        <w:rPr>
          <w:rFonts w:ascii="Times New Roman" w:hAnsi="Times New Roman" w:cs="Times New Roman"/>
          <w:sz w:val="24"/>
          <w:szCs w:val="24"/>
        </w:rPr>
        <w:t xml:space="preserve"> </w:t>
      </w:r>
      <w:proofErr w:type="spellStart"/>
      <w:r w:rsidRPr="00EF74F9">
        <w:rPr>
          <w:rFonts w:ascii="Times New Roman" w:hAnsi="Times New Roman" w:cs="Times New Roman"/>
          <w:sz w:val="24"/>
          <w:szCs w:val="24"/>
        </w:rPr>
        <w:t>sonra</w:t>
      </w:r>
      <w:proofErr w:type="spellEnd"/>
      <w:r w:rsidRPr="00EF74F9">
        <w:rPr>
          <w:rFonts w:ascii="Times New Roman" w:hAnsi="Times New Roman" w:cs="Times New Roman"/>
          <w:sz w:val="24"/>
          <w:szCs w:val="24"/>
        </w:rPr>
        <w:t xml:space="preserve"> “Banka” </w:t>
      </w:r>
      <w:proofErr w:type="spellStart"/>
      <w:r w:rsidRPr="00EF74F9">
        <w:rPr>
          <w:rFonts w:ascii="Times New Roman" w:hAnsi="Times New Roman" w:cs="Times New Roman"/>
          <w:sz w:val="24"/>
          <w:szCs w:val="24"/>
        </w:rPr>
        <w:t>olarak</w:t>
      </w:r>
      <w:proofErr w:type="spellEnd"/>
      <w:r w:rsidRPr="00EF74F9">
        <w:rPr>
          <w:rFonts w:ascii="Times New Roman" w:hAnsi="Times New Roman" w:cs="Times New Roman"/>
          <w:sz w:val="24"/>
          <w:szCs w:val="24"/>
        </w:rPr>
        <w:t xml:space="preserve"> </w:t>
      </w:r>
      <w:proofErr w:type="spellStart"/>
      <w:r w:rsidRPr="00EF74F9">
        <w:rPr>
          <w:rFonts w:ascii="Times New Roman" w:hAnsi="Times New Roman" w:cs="Times New Roman"/>
          <w:sz w:val="24"/>
          <w:szCs w:val="24"/>
        </w:rPr>
        <w:t>anılacaktır</w:t>
      </w:r>
      <w:proofErr w:type="spellEnd"/>
      <w:r w:rsidRPr="00EF74F9">
        <w:rPr>
          <w:rFonts w:ascii="Times New Roman" w:hAnsi="Times New Roman" w:cs="Times New Roman"/>
          <w:sz w:val="24"/>
          <w:szCs w:val="24"/>
        </w:rPr>
        <w:t xml:space="preserve">) </w:t>
      </w:r>
      <w:proofErr w:type="spellStart"/>
      <w:r w:rsidRPr="00EF74F9">
        <w:rPr>
          <w:rFonts w:ascii="Times New Roman" w:hAnsi="Times New Roman" w:cs="Times New Roman"/>
          <w:sz w:val="24"/>
          <w:szCs w:val="24"/>
        </w:rPr>
        <w:t>zorunlu</w:t>
      </w:r>
      <w:proofErr w:type="spellEnd"/>
      <w:r w:rsidRPr="00EF74F9">
        <w:rPr>
          <w:rFonts w:ascii="Times New Roman" w:hAnsi="Times New Roman" w:cs="Times New Roman"/>
          <w:sz w:val="24"/>
          <w:szCs w:val="24"/>
        </w:rPr>
        <w:t xml:space="preserve"> </w:t>
      </w:r>
      <w:proofErr w:type="spellStart"/>
      <w:r w:rsidRPr="00EF74F9">
        <w:rPr>
          <w:rFonts w:ascii="Times New Roman" w:hAnsi="Times New Roman" w:cs="Times New Roman"/>
          <w:sz w:val="24"/>
          <w:szCs w:val="24"/>
        </w:rPr>
        <w:t>mevduat</w:t>
      </w:r>
      <w:proofErr w:type="spellEnd"/>
      <w:r w:rsidRPr="00EF74F9">
        <w:rPr>
          <w:rFonts w:ascii="Times New Roman" w:hAnsi="Times New Roman" w:cs="Times New Roman"/>
          <w:sz w:val="24"/>
          <w:szCs w:val="24"/>
        </w:rPr>
        <w:t xml:space="preserve"> </w:t>
      </w:r>
      <w:proofErr w:type="spellStart"/>
      <w:r w:rsidRPr="00EF74F9">
        <w:rPr>
          <w:rFonts w:ascii="Times New Roman" w:hAnsi="Times New Roman" w:cs="Times New Roman"/>
          <w:sz w:val="24"/>
          <w:szCs w:val="24"/>
        </w:rPr>
        <w:t>garanti</w:t>
      </w:r>
      <w:proofErr w:type="spellEnd"/>
      <w:r w:rsidRPr="00EF74F9">
        <w:rPr>
          <w:rFonts w:ascii="Times New Roman" w:hAnsi="Times New Roman" w:cs="Times New Roman"/>
          <w:sz w:val="24"/>
          <w:szCs w:val="24"/>
        </w:rPr>
        <w:t xml:space="preserve"> </w:t>
      </w:r>
      <w:proofErr w:type="spellStart"/>
      <w:r w:rsidRPr="00EF74F9">
        <w:rPr>
          <w:rFonts w:ascii="Times New Roman" w:hAnsi="Times New Roman" w:cs="Times New Roman"/>
          <w:sz w:val="24"/>
          <w:szCs w:val="24"/>
        </w:rPr>
        <w:t>sistemine</w:t>
      </w:r>
      <w:proofErr w:type="spellEnd"/>
      <w:r w:rsidRPr="00EF74F9">
        <w:rPr>
          <w:rFonts w:ascii="Times New Roman" w:hAnsi="Times New Roman" w:cs="Times New Roman"/>
          <w:sz w:val="24"/>
          <w:szCs w:val="24"/>
        </w:rPr>
        <w:t xml:space="preserve"> </w:t>
      </w:r>
      <w:proofErr w:type="spellStart"/>
      <w:r w:rsidRPr="00EF74F9">
        <w:rPr>
          <w:rFonts w:ascii="Times New Roman" w:hAnsi="Times New Roman" w:cs="Times New Roman"/>
          <w:sz w:val="24"/>
          <w:szCs w:val="24"/>
        </w:rPr>
        <w:t>katıldığını</w:t>
      </w:r>
      <w:proofErr w:type="spellEnd"/>
      <w:r w:rsidRPr="00EF74F9">
        <w:rPr>
          <w:rFonts w:ascii="Times New Roman" w:hAnsi="Times New Roman" w:cs="Times New Roman"/>
          <w:sz w:val="24"/>
          <w:szCs w:val="24"/>
        </w:rPr>
        <w:t xml:space="preserve"> size </w:t>
      </w:r>
      <w:proofErr w:type="spellStart"/>
      <w:r w:rsidRPr="00EF74F9">
        <w:rPr>
          <w:rFonts w:ascii="Times New Roman" w:hAnsi="Times New Roman" w:cs="Times New Roman"/>
          <w:sz w:val="24"/>
          <w:szCs w:val="24"/>
        </w:rPr>
        <w:t>bildirir</w:t>
      </w:r>
      <w:proofErr w:type="spellEnd"/>
      <w:r w:rsidRPr="00EF74F9">
        <w:rPr>
          <w:rFonts w:ascii="Times New Roman" w:hAnsi="Times New Roman" w:cs="Times New Roman"/>
          <w:sz w:val="24"/>
          <w:szCs w:val="24"/>
        </w:rPr>
        <w:t>.</w:t>
      </w:r>
    </w:p>
    <w:p w14:paraId="04478A2F" w14:textId="77777777" w:rsidR="004B21E9" w:rsidRDefault="004B21E9" w:rsidP="004B21E9">
      <w:pPr>
        <w:pStyle w:val="a3"/>
        <w:numPr>
          <w:ilvl w:val="0"/>
          <w:numId w:val="1"/>
        </w:numPr>
        <w:spacing w:before="0" w:after="0" w:line="240" w:lineRule="auto"/>
        <w:ind w:left="0" w:firstLine="426"/>
        <w:rPr>
          <w:rFonts w:ascii="Times New Roman" w:hAnsi="Times New Roman" w:cs="Times New Roman"/>
          <w:sz w:val="24"/>
          <w:szCs w:val="24"/>
          <w:lang w:val="kk-KZ"/>
        </w:rPr>
      </w:pPr>
      <w:r>
        <w:rPr>
          <w:rFonts w:ascii="Times New Roman" w:hAnsi="Times New Roman" w:cs="Times New Roman"/>
          <w:sz w:val="24"/>
          <w:szCs w:val="24"/>
          <w:lang w:val="tr-TR"/>
        </w:rPr>
        <w:t>K</w:t>
      </w:r>
      <w:r w:rsidRPr="004B21E9">
        <w:rPr>
          <w:rFonts w:ascii="Times New Roman" w:hAnsi="Times New Roman" w:cs="Times New Roman"/>
          <w:sz w:val="24"/>
          <w:szCs w:val="24"/>
          <w:lang w:val="kk-KZ"/>
        </w:rPr>
        <w:t>azakistan Cumhuriyeti’nin “Kazakistan Cumhuriyeti’ndeki ikinci kademe bankalarda bulunan mevduatların zorunlu olarak garanti altına alınmasına ilişkin” Kanunu (bundan böyle “Kanun” olarak anılacaktır) uyarınca, mevduatınız zorunlu mevduat garantisi kapsamındadır</w:t>
      </w:r>
      <w:r w:rsidR="00503DC3" w:rsidRPr="00503DC3">
        <w:rPr>
          <w:rFonts w:ascii="Times New Roman" w:hAnsi="Times New Roman" w:cs="Times New Roman"/>
          <w:sz w:val="24"/>
          <w:szCs w:val="24"/>
          <w:lang w:val="kk-KZ"/>
        </w:rPr>
        <w:t>.</w:t>
      </w:r>
      <w:r w:rsidR="007631C0" w:rsidRPr="00503DC3">
        <w:rPr>
          <w:rFonts w:ascii="Times New Roman" w:hAnsi="Times New Roman" w:cs="Times New Roman"/>
          <w:sz w:val="24"/>
          <w:szCs w:val="24"/>
          <w:lang w:val="kk-KZ"/>
        </w:rPr>
        <w:t xml:space="preserve"> </w:t>
      </w:r>
    </w:p>
    <w:p w14:paraId="6DD62FAD" w14:textId="74A6E7C1" w:rsidR="004B21E9" w:rsidRPr="00295DBC" w:rsidRDefault="004B21E9" w:rsidP="004B21E9">
      <w:pPr>
        <w:pStyle w:val="a3"/>
        <w:numPr>
          <w:ilvl w:val="0"/>
          <w:numId w:val="1"/>
        </w:numPr>
        <w:spacing w:before="0" w:after="0" w:line="240" w:lineRule="auto"/>
        <w:ind w:left="0" w:firstLine="426"/>
        <w:rPr>
          <w:rStyle w:val="af"/>
          <w:rFonts w:ascii="Times New Roman" w:hAnsi="Times New Roman" w:cs="Times New Roman"/>
          <w:b w:val="0"/>
          <w:bCs w:val="0"/>
          <w:sz w:val="24"/>
          <w:szCs w:val="24"/>
          <w:lang w:val="kk-KZ"/>
        </w:rPr>
      </w:pPr>
      <w:r w:rsidRPr="00295DBC">
        <w:rPr>
          <w:rStyle w:val="af"/>
          <w:rFonts w:ascii="Times New Roman" w:hAnsi="Times New Roman" w:cs="Times New Roman"/>
          <w:b w:val="0"/>
          <w:bCs w:val="0"/>
          <w:sz w:val="24"/>
          <w:szCs w:val="24"/>
          <w:lang w:val="kk-KZ"/>
        </w:rPr>
        <w:t xml:space="preserve">Yasaya göre, garantinin azami (sınır) tutarı şu şekildedir: </w:t>
      </w:r>
    </w:p>
    <w:p w14:paraId="4CEFFD5A" w14:textId="77777777" w:rsidR="004B21E9" w:rsidRPr="00295DBC" w:rsidRDefault="004B21E9" w:rsidP="00295DBC">
      <w:pPr>
        <w:pStyle w:val="ae"/>
        <w:spacing w:before="0" w:beforeAutospacing="0" w:after="0" w:afterAutospacing="0"/>
        <w:ind w:left="709"/>
        <w:jc w:val="both"/>
        <w:rPr>
          <w:rStyle w:val="af"/>
          <w:b w:val="0"/>
          <w:bCs w:val="0"/>
          <w:lang w:val="kk-KZ"/>
        </w:rPr>
      </w:pPr>
      <w:r w:rsidRPr="00295DBC">
        <w:rPr>
          <w:rStyle w:val="af"/>
          <w:b w:val="0"/>
          <w:bCs w:val="0"/>
          <w:lang w:val="kk-KZ"/>
        </w:rPr>
        <w:t xml:space="preserve">• Ulusal para birimindeki tasarruf mevduatları için </w:t>
      </w:r>
      <w:r w:rsidRPr="00295DBC">
        <w:rPr>
          <w:rStyle w:val="af"/>
          <w:lang w:val="kk-KZ"/>
        </w:rPr>
        <w:t>20 milyon tenge;</w:t>
      </w:r>
    </w:p>
    <w:p w14:paraId="2DD74920" w14:textId="77777777" w:rsidR="004B21E9" w:rsidRPr="00295DBC" w:rsidRDefault="004B21E9" w:rsidP="00295DBC">
      <w:pPr>
        <w:pStyle w:val="ae"/>
        <w:spacing w:before="0" w:beforeAutospacing="0" w:after="0" w:afterAutospacing="0"/>
        <w:ind w:left="709"/>
        <w:jc w:val="both"/>
        <w:rPr>
          <w:rStyle w:val="af"/>
          <w:b w:val="0"/>
          <w:bCs w:val="0"/>
          <w:lang w:val="kk-KZ"/>
        </w:rPr>
      </w:pPr>
      <w:r w:rsidRPr="00295DBC">
        <w:rPr>
          <w:rStyle w:val="af"/>
          <w:b w:val="0"/>
          <w:bCs w:val="0"/>
          <w:lang w:val="kk-KZ"/>
        </w:rPr>
        <w:t xml:space="preserve">• Ulusal para birimindeki diğer mevduatlar (tasarruf mevduatları hariç) için </w:t>
      </w:r>
      <w:r w:rsidRPr="00295DBC">
        <w:rPr>
          <w:rStyle w:val="af"/>
          <w:lang w:val="kk-KZ"/>
        </w:rPr>
        <w:t>10 milyon tenge;</w:t>
      </w:r>
    </w:p>
    <w:p w14:paraId="28F6BB99" w14:textId="75298671" w:rsidR="00503DC3" w:rsidRPr="00295DBC" w:rsidRDefault="004B21E9" w:rsidP="00295DBC">
      <w:pPr>
        <w:pStyle w:val="ae"/>
        <w:spacing w:before="0" w:beforeAutospacing="0" w:after="0" w:afterAutospacing="0"/>
        <w:ind w:left="709"/>
        <w:jc w:val="both"/>
        <w:rPr>
          <w:b/>
          <w:bCs/>
          <w:lang w:val="kk-KZ"/>
        </w:rPr>
      </w:pPr>
      <w:r w:rsidRPr="00295DBC">
        <w:rPr>
          <w:rStyle w:val="af"/>
          <w:b w:val="0"/>
          <w:bCs w:val="0"/>
          <w:lang w:val="kk-KZ"/>
        </w:rPr>
        <w:t xml:space="preserve">• Yabancı para birimindeki mevduatlar için </w:t>
      </w:r>
      <w:r w:rsidRPr="00295DBC">
        <w:rPr>
          <w:rStyle w:val="af"/>
          <w:lang w:val="kk-KZ"/>
        </w:rPr>
        <w:t>5 milyon tenge.</w:t>
      </w:r>
    </w:p>
    <w:p w14:paraId="4699093B" w14:textId="77777777" w:rsidR="004B21E9" w:rsidRPr="004B21E9" w:rsidRDefault="004B21E9" w:rsidP="00295DBC">
      <w:pPr>
        <w:pStyle w:val="a3"/>
        <w:spacing w:before="0" w:after="0" w:line="240" w:lineRule="auto"/>
        <w:ind w:left="0" w:firstLine="709"/>
        <w:rPr>
          <w:rFonts w:ascii="Times New Roman" w:eastAsia="Times New Roman" w:hAnsi="Times New Roman" w:cs="Times New Roman"/>
          <w:sz w:val="24"/>
          <w:szCs w:val="24"/>
          <w:lang w:val="kk-KZ" w:eastAsia="ru-RU"/>
        </w:rPr>
      </w:pPr>
      <w:r w:rsidRPr="004B21E9">
        <w:rPr>
          <w:rFonts w:ascii="Times New Roman" w:eastAsia="Times New Roman" w:hAnsi="Times New Roman" w:cs="Times New Roman"/>
          <w:sz w:val="24"/>
          <w:szCs w:val="24"/>
          <w:lang w:val="kk-KZ" w:eastAsia="ru-RU"/>
        </w:rPr>
        <w:t xml:space="preserve">Bankada tür ve para birimi bakımından farklı birkaç mevduat bulunuyorsa, tüm mevduatların toplam bakiyesi garanti altına alınır; ancak bu tutar, her bir mevduat türü için belirlenen sınırlar dikkate alınarak, 20 milyon tenge olan maksimum garanti tazminat tutarını aşamaz. </w:t>
      </w:r>
    </w:p>
    <w:p w14:paraId="7803F7D8" w14:textId="77777777" w:rsidR="004B21E9" w:rsidRPr="004B21E9" w:rsidRDefault="004B21E9" w:rsidP="00295DBC">
      <w:pPr>
        <w:pStyle w:val="a3"/>
        <w:spacing w:before="0" w:after="0" w:line="240" w:lineRule="auto"/>
        <w:ind w:left="0" w:firstLine="709"/>
        <w:rPr>
          <w:rFonts w:ascii="Times New Roman" w:eastAsia="Times New Roman" w:hAnsi="Times New Roman" w:cs="Times New Roman"/>
          <w:sz w:val="24"/>
          <w:szCs w:val="24"/>
          <w:lang w:val="kk-KZ" w:eastAsia="ru-RU"/>
        </w:rPr>
      </w:pPr>
      <w:r w:rsidRPr="004B21E9">
        <w:rPr>
          <w:rFonts w:ascii="Times New Roman" w:eastAsia="Times New Roman" w:hAnsi="Times New Roman" w:cs="Times New Roman"/>
          <w:sz w:val="24"/>
          <w:szCs w:val="24"/>
          <w:lang w:val="kk-KZ" w:eastAsia="ru-RU"/>
        </w:rPr>
        <w:t xml:space="preserve">Ödeme yapılacak garanti tazminat tutarının, Bankanın her türlü işlemi gerçekleştirme bankacılık lisansının (bundan sonra “lisans” olarak anılacaktır) iptal edildiği tarihte, tahakkuk eden faiz dikkate alınarak mevduat bakiyeleri üzerinden hesaplandığını ve aşağıdaki sonuçlara göre </w:t>
      </w:r>
      <w:r w:rsidRPr="00295DBC">
        <w:rPr>
          <w:rFonts w:ascii="Times New Roman" w:eastAsia="Times New Roman" w:hAnsi="Times New Roman" w:cs="Times New Roman"/>
          <w:b/>
          <w:bCs/>
          <w:sz w:val="24"/>
          <w:szCs w:val="24"/>
          <w:lang w:val="kk-KZ" w:eastAsia="ru-RU"/>
        </w:rPr>
        <w:t>belirlendiğini lütfen unutmayın</w:t>
      </w:r>
      <w:r w:rsidRPr="004B21E9">
        <w:rPr>
          <w:rFonts w:ascii="Times New Roman" w:eastAsia="Times New Roman" w:hAnsi="Times New Roman" w:cs="Times New Roman"/>
          <w:sz w:val="24"/>
          <w:szCs w:val="24"/>
          <w:lang w:val="kk-KZ" w:eastAsia="ru-RU"/>
        </w:rPr>
        <w:t xml:space="preserve">: </w:t>
      </w:r>
    </w:p>
    <w:p w14:paraId="4B480A63" w14:textId="77777777" w:rsidR="004B21E9" w:rsidRPr="004B21E9" w:rsidRDefault="004B21E9" w:rsidP="00295DBC">
      <w:pPr>
        <w:pStyle w:val="a3"/>
        <w:spacing w:before="0" w:after="0" w:line="240" w:lineRule="auto"/>
        <w:ind w:left="0" w:firstLine="709"/>
        <w:rPr>
          <w:rFonts w:ascii="Times New Roman" w:eastAsia="Times New Roman" w:hAnsi="Times New Roman" w:cs="Times New Roman"/>
          <w:sz w:val="24"/>
          <w:szCs w:val="24"/>
          <w:lang w:val="kk-KZ" w:eastAsia="ru-RU"/>
        </w:rPr>
      </w:pPr>
      <w:r w:rsidRPr="004B21E9">
        <w:rPr>
          <w:rFonts w:ascii="Times New Roman" w:eastAsia="Times New Roman" w:hAnsi="Times New Roman" w:cs="Times New Roman"/>
          <w:sz w:val="24"/>
          <w:szCs w:val="24"/>
          <w:lang w:val="kk-KZ" w:eastAsia="ru-RU"/>
        </w:rPr>
        <w:t>1) Yabancı para cinsinden mevduat (yatırım) bakiyesinin piyasa döviz kuru üzerinden tengeye çevrilmesi;</w:t>
      </w:r>
    </w:p>
    <w:p w14:paraId="25C3479E" w14:textId="77777777" w:rsidR="004B21E9" w:rsidRPr="004B21E9" w:rsidRDefault="004B21E9" w:rsidP="00295DBC">
      <w:pPr>
        <w:pStyle w:val="a3"/>
        <w:spacing w:before="0" w:after="0" w:line="240" w:lineRule="auto"/>
        <w:ind w:left="0" w:firstLine="709"/>
        <w:rPr>
          <w:rFonts w:ascii="Times New Roman" w:eastAsia="Times New Roman" w:hAnsi="Times New Roman" w:cs="Times New Roman"/>
          <w:sz w:val="24"/>
          <w:szCs w:val="24"/>
          <w:lang w:val="kk-KZ" w:eastAsia="ru-RU"/>
        </w:rPr>
      </w:pPr>
      <w:r w:rsidRPr="004B21E9">
        <w:rPr>
          <w:rFonts w:ascii="Times New Roman" w:eastAsia="Times New Roman" w:hAnsi="Times New Roman" w:cs="Times New Roman"/>
          <w:sz w:val="24"/>
          <w:szCs w:val="24"/>
          <w:lang w:val="kk-KZ" w:eastAsia="ru-RU"/>
        </w:rPr>
        <w:t xml:space="preserve">2) Bankadaki tür ve para birimi bakımından farklı diğer mevduat (yatırım) bakiyeleri dikkate alınarak toplam garanti tazminat tutarının hesaplanması; </w:t>
      </w:r>
    </w:p>
    <w:p w14:paraId="4F9F2F18" w14:textId="77777777" w:rsidR="004B21E9" w:rsidRPr="004B21E9" w:rsidRDefault="004B21E9" w:rsidP="00295DBC">
      <w:pPr>
        <w:pStyle w:val="a3"/>
        <w:spacing w:before="0" w:after="0" w:line="240" w:lineRule="auto"/>
        <w:ind w:left="0" w:firstLine="709"/>
        <w:rPr>
          <w:rFonts w:ascii="Times New Roman" w:eastAsia="Times New Roman" w:hAnsi="Times New Roman" w:cs="Times New Roman"/>
          <w:sz w:val="24"/>
          <w:szCs w:val="24"/>
          <w:lang w:val="kk-KZ" w:eastAsia="ru-RU"/>
        </w:rPr>
      </w:pPr>
      <w:r w:rsidRPr="004B21E9">
        <w:rPr>
          <w:rFonts w:ascii="Times New Roman" w:eastAsia="Times New Roman" w:hAnsi="Times New Roman" w:cs="Times New Roman"/>
          <w:sz w:val="24"/>
          <w:szCs w:val="24"/>
          <w:lang w:val="kk-KZ" w:eastAsia="ru-RU"/>
        </w:rPr>
        <w:t>3) Varsa, örneğin kredi borcunuz gibi Bankaya olan borcunuzun mahsup edilmesi.</w:t>
      </w:r>
    </w:p>
    <w:p w14:paraId="0C36A958" w14:textId="28DE9C7D" w:rsidR="00DE4E6E" w:rsidRPr="00295DBC" w:rsidRDefault="004B21E9" w:rsidP="00295DBC">
      <w:pPr>
        <w:pStyle w:val="a3"/>
        <w:spacing w:before="0" w:after="0" w:line="240" w:lineRule="auto"/>
        <w:ind w:left="0" w:firstLine="709"/>
        <w:rPr>
          <w:rFonts w:ascii="Times New Roman" w:hAnsi="Times New Roman" w:cs="Times New Roman"/>
          <w:b/>
          <w:bCs/>
          <w:sz w:val="24"/>
          <w:szCs w:val="24"/>
          <w:lang w:val="kk-KZ"/>
        </w:rPr>
      </w:pPr>
      <w:r w:rsidRPr="00295DBC">
        <w:rPr>
          <w:rFonts w:ascii="Times New Roman" w:eastAsia="Times New Roman" w:hAnsi="Times New Roman" w:cs="Times New Roman"/>
          <w:b/>
          <w:bCs/>
          <w:sz w:val="24"/>
          <w:szCs w:val="24"/>
          <w:lang w:val="kk-KZ" w:eastAsia="ru-RU"/>
        </w:rPr>
        <w:t>Mevduatınızın (yatırımınızın) adı, türü, para birimi ve diğer koşullar, Kanunla belirlenen maksimum (sınır) garanti tazminat tutarı da dahil olmak üzere, Banka ile aranızda banka hesabı sözleşmesi ve (veya) banka mevduat sözleşmesi imzalanırken, elektronik ortamda da dahil olmak üzere, tarafınızca imzalanan beyannamede veya başka bir belgede belirtilir.</w:t>
      </w:r>
      <w:r w:rsidR="007631C0" w:rsidRPr="00295DBC">
        <w:rPr>
          <w:rFonts w:ascii="Times New Roman" w:hAnsi="Times New Roman" w:cs="Times New Roman"/>
          <w:b/>
          <w:bCs/>
          <w:sz w:val="24"/>
          <w:szCs w:val="24"/>
          <w:lang w:val="kk-KZ"/>
        </w:rPr>
        <w:t xml:space="preserve"> </w:t>
      </w:r>
    </w:p>
    <w:p w14:paraId="6560D5D5" w14:textId="26E53874" w:rsidR="0021564A" w:rsidRPr="0021564A" w:rsidRDefault="0021564A" w:rsidP="0021564A">
      <w:pPr>
        <w:pStyle w:val="a3"/>
        <w:numPr>
          <w:ilvl w:val="0"/>
          <w:numId w:val="1"/>
        </w:numPr>
        <w:spacing w:before="0" w:after="0" w:line="240" w:lineRule="auto"/>
        <w:ind w:left="0" w:firstLine="709"/>
        <w:rPr>
          <w:rFonts w:ascii="Times New Roman" w:hAnsi="Times New Roman" w:cs="Times New Roman"/>
          <w:sz w:val="24"/>
          <w:szCs w:val="24"/>
          <w:lang w:val="kk-KZ"/>
        </w:rPr>
      </w:pPr>
      <w:r w:rsidRPr="0021564A">
        <w:rPr>
          <w:rFonts w:ascii="Times New Roman" w:hAnsi="Times New Roman" w:cs="Times New Roman"/>
          <w:sz w:val="24"/>
          <w:szCs w:val="24"/>
          <w:lang w:val="kk-KZ"/>
        </w:rPr>
        <w:t xml:space="preserve">Bankanın lisansının iptal edilmesi durumunda, «Kazakistan Mevduat Garanti Fonu» </w:t>
      </w:r>
      <w:r w:rsidR="003D0B5B" w:rsidRPr="0021564A">
        <w:rPr>
          <w:rFonts w:ascii="Times New Roman" w:hAnsi="Times New Roman" w:cs="Times New Roman"/>
          <w:sz w:val="24"/>
          <w:szCs w:val="24"/>
          <w:lang w:val="kk-KZ"/>
        </w:rPr>
        <w:t>A.Ş.</w:t>
      </w:r>
      <w:r w:rsidR="003D0B5B" w:rsidRPr="0021564A">
        <w:rPr>
          <w:rFonts w:ascii="Times New Roman" w:hAnsi="Times New Roman" w:cs="Times New Roman"/>
          <w:sz w:val="24"/>
          <w:szCs w:val="24"/>
          <w:lang w:val="kk-KZ"/>
        </w:rPr>
        <w:t xml:space="preserve"> </w:t>
      </w:r>
      <w:r w:rsidRPr="0021564A">
        <w:rPr>
          <w:rFonts w:ascii="Times New Roman" w:hAnsi="Times New Roman" w:cs="Times New Roman"/>
          <w:sz w:val="24"/>
          <w:szCs w:val="24"/>
          <w:lang w:val="kk-KZ"/>
        </w:rPr>
        <w:t xml:space="preserve">(bundan böyle «KFGD» olarak anılacaktır) Bankanın lisansının iptal edildiği tarihten itibaren </w:t>
      </w:r>
      <w:r w:rsidRPr="0021564A">
        <w:rPr>
          <w:rFonts w:ascii="Times New Roman" w:hAnsi="Times New Roman" w:cs="Times New Roman"/>
          <w:b/>
          <w:bCs/>
          <w:sz w:val="24"/>
          <w:szCs w:val="24"/>
          <w:lang w:val="kk-KZ"/>
        </w:rPr>
        <w:t>20 iş günü içinde</w:t>
      </w:r>
      <w:r w:rsidRPr="0021564A">
        <w:rPr>
          <w:rFonts w:ascii="Times New Roman" w:hAnsi="Times New Roman" w:cs="Times New Roman"/>
          <w:sz w:val="24"/>
          <w:szCs w:val="24"/>
          <w:lang w:val="kk-KZ"/>
        </w:rPr>
        <w:t xml:space="preserve"> mevduatınız için garanti tazminatı ödemesine başlar.</w:t>
      </w:r>
    </w:p>
    <w:p w14:paraId="4EF84AC8" w14:textId="77777777" w:rsidR="0021564A" w:rsidRPr="0021564A" w:rsidRDefault="0021564A" w:rsidP="0021564A">
      <w:pPr>
        <w:spacing w:before="0" w:after="0" w:line="240" w:lineRule="auto"/>
        <w:ind w:firstLine="709"/>
        <w:rPr>
          <w:rFonts w:ascii="Times New Roman" w:hAnsi="Times New Roman" w:cs="Times New Roman"/>
          <w:sz w:val="24"/>
          <w:szCs w:val="24"/>
          <w:lang w:val="kk-KZ"/>
        </w:rPr>
      </w:pPr>
      <w:r w:rsidRPr="0021564A">
        <w:rPr>
          <w:rFonts w:ascii="Times New Roman" w:hAnsi="Times New Roman" w:cs="Times New Roman"/>
          <w:sz w:val="24"/>
          <w:szCs w:val="24"/>
          <w:lang w:val="kk-KZ"/>
        </w:rPr>
        <w:t xml:space="preserve">KFGD'nin garanti tazminatının ödenmesine ilişkin başvuru tarihine, usulüne ve yöntemlerine ilişkin duyurusu ile garanti tazminatını ödeyen acente bankaların listesi, garanti tazminatı ödemesinin başlangıç süresi veya ertelenmesi, Bankanın lisansının iptal edildiği tarihten itibaren </w:t>
      </w:r>
      <w:r w:rsidRPr="0021564A">
        <w:rPr>
          <w:rFonts w:ascii="Times New Roman" w:hAnsi="Times New Roman" w:cs="Times New Roman"/>
          <w:b/>
          <w:bCs/>
          <w:sz w:val="24"/>
          <w:szCs w:val="24"/>
          <w:lang w:val="kk-KZ"/>
        </w:rPr>
        <w:t>15 iş günü içinde</w:t>
      </w:r>
      <w:r w:rsidRPr="0021564A">
        <w:rPr>
          <w:rFonts w:ascii="Times New Roman" w:hAnsi="Times New Roman" w:cs="Times New Roman"/>
          <w:sz w:val="24"/>
          <w:szCs w:val="24"/>
          <w:lang w:val="kk-KZ"/>
        </w:rPr>
        <w:t xml:space="preserve"> Kazakça ve Rusça dillerinde, Kazakistan Cumhuriyeti'nin tüm topraklarında dağıtılan süreli basılı yayınlarda (Egemeni Kazakstan, Kazakstanskaya Pravda) ile KFGD internet sitesinde (www.kdif.kz) ve diğer kitle iletişim araçlarında yayınlanır.</w:t>
      </w:r>
    </w:p>
    <w:p w14:paraId="4650467A" w14:textId="69699751" w:rsidR="00DE4E6E" w:rsidRPr="0021564A" w:rsidRDefault="0021564A" w:rsidP="0021564A">
      <w:pPr>
        <w:spacing w:before="0" w:after="0" w:line="240" w:lineRule="auto"/>
        <w:ind w:firstLine="709"/>
        <w:rPr>
          <w:rFonts w:ascii="Times New Roman" w:hAnsi="Times New Roman" w:cs="Times New Roman"/>
          <w:sz w:val="28"/>
          <w:szCs w:val="28"/>
          <w:lang w:val="kk-KZ"/>
        </w:rPr>
      </w:pPr>
      <w:r w:rsidRPr="0021564A">
        <w:rPr>
          <w:rFonts w:ascii="Times New Roman" w:hAnsi="Times New Roman" w:cs="Times New Roman"/>
          <w:sz w:val="24"/>
          <w:szCs w:val="24"/>
          <w:lang w:val="kk-KZ"/>
        </w:rPr>
        <w:t xml:space="preserve">Garanti tazminatının ödenmeye başlama tarihi, söz konusu duyurunun yayınlandığı tarihten itibaren </w:t>
      </w:r>
      <w:r w:rsidRPr="0021564A">
        <w:rPr>
          <w:rFonts w:ascii="Times New Roman" w:hAnsi="Times New Roman" w:cs="Times New Roman"/>
          <w:b/>
          <w:bCs/>
          <w:sz w:val="24"/>
          <w:szCs w:val="24"/>
          <w:lang w:val="kk-KZ"/>
        </w:rPr>
        <w:t>5 iş gününü geçemez.</w:t>
      </w:r>
    </w:p>
    <w:p w14:paraId="746FB297" w14:textId="5F5FF79D" w:rsidR="003D0B5B" w:rsidRPr="003D0B5B" w:rsidRDefault="003D0B5B" w:rsidP="003D0B5B">
      <w:pPr>
        <w:pStyle w:val="ae"/>
        <w:numPr>
          <w:ilvl w:val="0"/>
          <w:numId w:val="1"/>
        </w:numPr>
        <w:spacing w:before="0" w:beforeAutospacing="0" w:after="0" w:afterAutospacing="0"/>
        <w:ind w:left="0" w:firstLine="709"/>
        <w:jc w:val="both"/>
        <w:rPr>
          <w:rFonts w:eastAsiaTheme="minorEastAsia"/>
          <w:lang w:val="kk-KZ" w:eastAsia="en-US"/>
        </w:rPr>
      </w:pPr>
      <w:r w:rsidRPr="003D0B5B">
        <w:rPr>
          <w:rFonts w:eastAsiaTheme="minorEastAsia"/>
          <w:lang w:val="kk-KZ" w:eastAsia="en-US"/>
        </w:rPr>
        <w:lastRenderedPageBreak/>
        <w:t xml:space="preserve">Garanti tazminatının ödenme süresi, ödeme başlangıç tarihinden itibaren 1 yıldır. Garanti tazminatını almak için, acente bankalar listesinden seçtiğiniz acente bankaya (bankalara) basılı bir başvuru formu sunabilirsiniz. </w:t>
      </w:r>
    </w:p>
    <w:p w14:paraId="7C233CD1" w14:textId="77777777" w:rsidR="003D0B5B" w:rsidRPr="003D0B5B" w:rsidRDefault="003D0B5B" w:rsidP="003D0B5B">
      <w:pPr>
        <w:pStyle w:val="ae"/>
        <w:spacing w:before="0" w:beforeAutospacing="0" w:after="0" w:afterAutospacing="0"/>
        <w:ind w:firstLine="425"/>
        <w:jc w:val="both"/>
        <w:rPr>
          <w:rFonts w:eastAsiaTheme="minorEastAsia"/>
          <w:lang w:val="kk-KZ" w:eastAsia="en-US"/>
        </w:rPr>
      </w:pPr>
      <w:r w:rsidRPr="003D0B5B">
        <w:rPr>
          <w:rFonts w:eastAsiaTheme="minorEastAsia"/>
          <w:lang w:val="kk-KZ" w:eastAsia="en-US"/>
        </w:rPr>
        <w:t xml:space="preserve">Garanti tazminatının ödenmesi, destekleyici belgelerle birlikte ödeme başvurunuzu yaptığınız tarihten itibaren en geç 5 iş günü içinde gerçekleştirilir. Garanti tazminatı ödeme başvuru formları ve destekleyici belgelerin listesine KFGD internet sitesinden (www.kdif.kz) ulaşabilirsiniz. </w:t>
      </w:r>
    </w:p>
    <w:p w14:paraId="3401F578" w14:textId="6EE128C4" w:rsidR="005750F8" w:rsidRPr="003D0B5B" w:rsidRDefault="003D0B5B" w:rsidP="003D0B5B">
      <w:pPr>
        <w:pStyle w:val="ae"/>
        <w:spacing w:before="0" w:beforeAutospacing="0" w:after="0" w:afterAutospacing="0"/>
        <w:ind w:firstLine="425"/>
        <w:jc w:val="both"/>
        <w:rPr>
          <w:b/>
          <w:bCs/>
          <w:lang w:val="kk-KZ"/>
        </w:rPr>
      </w:pPr>
      <w:r w:rsidRPr="003D0B5B">
        <w:rPr>
          <w:rFonts w:eastAsiaTheme="minorEastAsia"/>
          <w:lang w:val="kk-KZ" w:eastAsia="en-US"/>
        </w:rPr>
        <w:t>Garanti tazminatı ödeme süresinin sona erme tarihine ilişkin KFGD bildirimi, ödeme süresinin bitiminden 30 iş günü önce, Kazakistan Cumhuriyeti'nin tüm topraklarında dağıtılan süreli basılı yayınlarda (Egemén Kazakstan, Kazakstan Pravda) ile diğer kitle iletişim araçlarında ve KFGD internet sitesinde (www.kdif.kz) yayınlanır.</w:t>
      </w:r>
    </w:p>
    <w:p w14:paraId="4929A448" w14:textId="1368B383" w:rsidR="005750F8" w:rsidRPr="003D0B5B" w:rsidRDefault="003D0B5B" w:rsidP="00887447">
      <w:pPr>
        <w:pStyle w:val="a3"/>
        <w:numPr>
          <w:ilvl w:val="0"/>
          <w:numId w:val="1"/>
        </w:numPr>
        <w:spacing w:before="0" w:after="0" w:line="240" w:lineRule="auto"/>
        <w:ind w:left="0" w:firstLine="426"/>
        <w:rPr>
          <w:rFonts w:ascii="Times New Roman" w:hAnsi="Times New Roman" w:cs="Times New Roman"/>
          <w:sz w:val="28"/>
          <w:szCs w:val="28"/>
          <w:lang w:val="kk-KZ"/>
        </w:rPr>
      </w:pPr>
      <w:r w:rsidRPr="003D0B5B">
        <w:rPr>
          <w:rFonts w:ascii="Times New Roman" w:hAnsi="Times New Roman" w:cs="Times New Roman"/>
          <w:sz w:val="24"/>
          <w:szCs w:val="24"/>
          <w:lang w:val="kk-KZ"/>
        </w:rPr>
        <w:t xml:space="preserve">Garanti tazminatının ödeme süresinin sona ermesinden sonra (ödeme başlangıç tarihinden itibaren 1 yıl), talep etmediğiniz garanti tazminatı tutarı, Kazakistan Cumhuriyeti’nin sosyal koruma mevzuatında öngörülen usul uyarınca, “Tek Birikimli Emeklilik Fonu” </w:t>
      </w:r>
      <w:r w:rsidRPr="0021564A">
        <w:rPr>
          <w:rFonts w:ascii="Times New Roman" w:hAnsi="Times New Roman" w:cs="Times New Roman"/>
          <w:sz w:val="24"/>
          <w:szCs w:val="24"/>
          <w:lang w:val="kk-KZ"/>
        </w:rPr>
        <w:t>A.Ş.</w:t>
      </w:r>
      <w:r w:rsidRPr="003D0B5B">
        <w:rPr>
          <w:rFonts w:ascii="Times New Roman" w:hAnsi="Times New Roman" w:cs="Times New Roman"/>
          <w:sz w:val="24"/>
          <w:szCs w:val="24"/>
          <w:lang w:val="kk-KZ"/>
        </w:rPr>
        <w:t xml:space="preserve"> </w:t>
      </w:r>
      <w:r w:rsidRPr="003D0B5B">
        <w:rPr>
          <w:rFonts w:ascii="Times New Roman" w:hAnsi="Times New Roman" w:cs="Times New Roman"/>
          <w:sz w:val="24"/>
          <w:szCs w:val="24"/>
          <w:lang w:val="kk-KZ"/>
        </w:rPr>
        <w:t xml:space="preserve">(bundan sonra – </w:t>
      </w:r>
      <w:r w:rsidRPr="003D0B5B">
        <w:rPr>
          <w:rFonts w:ascii="Times New Roman" w:hAnsi="Times New Roman" w:cs="Times New Roman"/>
          <w:sz w:val="24"/>
          <w:szCs w:val="24"/>
          <w:lang w:val="kk-KZ"/>
        </w:rPr>
        <w:t>ENPF</w:t>
      </w:r>
      <w:r w:rsidRPr="003D0B5B">
        <w:rPr>
          <w:rFonts w:ascii="Times New Roman" w:hAnsi="Times New Roman" w:cs="Times New Roman"/>
          <w:sz w:val="24"/>
          <w:szCs w:val="24"/>
          <w:lang w:val="kk-KZ"/>
        </w:rPr>
        <w:t>) tarafından, Kazakistan Cumhuriyeti sosyal koruma mevzuatında öngörülen usul uyarınca açılmıştır. Talep edilmeyen garanti tazminatı tutarının ENPF'ye aktarılmasına ilişkin koşullar, Kanunun 21-1. maddesinin 2. fıkrasında belirlenmiştir.</w:t>
      </w:r>
      <w:r w:rsidR="007631C0" w:rsidRPr="003D0B5B">
        <w:rPr>
          <w:rFonts w:ascii="Times New Roman" w:hAnsi="Times New Roman" w:cs="Times New Roman"/>
          <w:sz w:val="28"/>
          <w:szCs w:val="28"/>
          <w:lang w:val="kk-KZ"/>
        </w:rPr>
        <w:t xml:space="preserve"> </w:t>
      </w:r>
    </w:p>
    <w:p w14:paraId="7CEBCB5B" w14:textId="03E717F3" w:rsidR="005750F8" w:rsidRPr="003D0B5B" w:rsidRDefault="003D0B5B" w:rsidP="00887447">
      <w:pPr>
        <w:pStyle w:val="a3"/>
        <w:numPr>
          <w:ilvl w:val="0"/>
          <w:numId w:val="1"/>
        </w:numPr>
        <w:spacing w:before="0" w:after="0" w:line="240" w:lineRule="auto"/>
        <w:ind w:left="0" w:firstLine="426"/>
        <w:rPr>
          <w:rFonts w:ascii="Times New Roman" w:hAnsi="Times New Roman" w:cs="Times New Roman"/>
          <w:sz w:val="28"/>
          <w:szCs w:val="28"/>
          <w:lang w:val="kk-KZ"/>
        </w:rPr>
      </w:pPr>
      <w:r w:rsidRPr="003D0B5B">
        <w:rPr>
          <w:rFonts w:ascii="Times New Roman" w:hAnsi="Times New Roman" w:cs="Times New Roman"/>
          <w:sz w:val="24"/>
          <w:szCs w:val="24"/>
          <w:lang w:val="kk-KZ"/>
        </w:rPr>
        <w:t>Yasaya göre, ödeme süresi içinde başvuruda bulunmanıza engel teşkil eden haklı bir nedenin varlığı halinde, destekleyici belgeleri ekleyerek KFGD’ye garanti tazminatı ödemesi için yazılı bir başvuru yapma hakkına sahipsiniz (buna, KFGD’nin talep etmediğiniz tutarı ENPF’ye aktarması durumu da dahildir). Makul nedenlerin listesi, Kanunun 21-1. maddesinin 4. fıkrasında belirtilmiştir. Bu durumda, söz konusu başvuru, Bankanın nihai tasfiyesine kadar veya Kazakistan Cumhuriyeti Sosyal Kanunu uyarınca gönüllü emeklilik katkı payları hesabına emeklilik ödemeleri alma hakkınız doğana kadar yapılabilir (talep edilmeyen tazminat tutarının, gönüllü emeklilik katkı paylarının kaydı için bireysel emeklilik hesabınıza aktarılması durumunda).</w:t>
      </w:r>
      <w:r w:rsidR="007631C0" w:rsidRPr="003D0B5B">
        <w:rPr>
          <w:rFonts w:ascii="Times New Roman" w:hAnsi="Times New Roman" w:cs="Times New Roman"/>
          <w:sz w:val="28"/>
          <w:szCs w:val="28"/>
          <w:lang w:val="kk-KZ"/>
        </w:rPr>
        <w:t xml:space="preserve"> </w:t>
      </w:r>
    </w:p>
    <w:p w14:paraId="6F3E51AC" w14:textId="77777777" w:rsidR="00EF2339" w:rsidRPr="003D0B5B" w:rsidRDefault="00EF2339" w:rsidP="005750F8">
      <w:pPr>
        <w:ind w:left="360"/>
        <w:rPr>
          <w:rFonts w:ascii="Times New Roman" w:hAnsi="Times New Roman" w:cs="Times New Roman"/>
          <w:b/>
          <w:bCs/>
          <w:sz w:val="24"/>
          <w:szCs w:val="24"/>
          <w:lang w:val="kk-KZ"/>
        </w:rPr>
      </w:pPr>
    </w:p>
    <w:p w14:paraId="00ABF14A" w14:textId="203ACADB" w:rsidR="005750F8" w:rsidRPr="00BA2F8D" w:rsidRDefault="00EF2339" w:rsidP="005750F8">
      <w:pPr>
        <w:ind w:left="360"/>
        <w:rPr>
          <w:rFonts w:ascii="Times New Roman" w:hAnsi="Times New Roman" w:cs="Times New Roman"/>
          <w:b/>
          <w:bCs/>
          <w:sz w:val="24"/>
          <w:szCs w:val="24"/>
        </w:rPr>
      </w:pPr>
      <w:r w:rsidRPr="00EF2339">
        <w:rPr>
          <w:rFonts w:ascii="Times New Roman" w:hAnsi="Times New Roman" w:cs="Times New Roman"/>
          <w:b/>
          <w:bCs/>
          <w:sz w:val="24"/>
          <w:szCs w:val="24"/>
        </w:rPr>
        <w:t xml:space="preserve">Banka </w:t>
      </w:r>
      <w:proofErr w:type="spellStart"/>
      <w:r w:rsidRPr="00EF2339">
        <w:rPr>
          <w:rFonts w:ascii="Times New Roman" w:hAnsi="Times New Roman" w:cs="Times New Roman"/>
          <w:b/>
          <w:bCs/>
          <w:sz w:val="24"/>
          <w:szCs w:val="24"/>
        </w:rPr>
        <w:t>Yetkilisi</w:t>
      </w:r>
      <w:proofErr w:type="spellEnd"/>
      <w:r w:rsidR="007631C0" w:rsidRPr="00BA2F8D">
        <w:rPr>
          <w:rFonts w:ascii="Times New Roman" w:hAnsi="Times New Roman" w:cs="Times New Roman"/>
          <w:b/>
          <w:bCs/>
          <w:sz w:val="24"/>
          <w:szCs w:val="24"/>
        </w:rPr>
        <w:t xml:space="preserve">* </w:t>
      </w:r>
    </w:p>
    <w:p w14:paraId="3FBCAC36" w14:textId="2A7D7D3A" w:rsidR="005750F8" w:rsidRPr="00BA2F8D" w:rsidRDefault="007631C0" w:rsidP="00887447">
      <w:pPr>
        <w:spacing w:before="0" w:after="0" w:line="240" w:lineRule="auto"/>
        <w:ind w:left="357"/>
        <w:rPr>
          <w:rFonts w:ascii="Times New Roman" w:hAnsi="Times New Roman" w:cs="Times New Roman"/>
          <w:sz w:val="20"/>
          <w:szCs w:val="20"/>
        </w:rPr>
      </w:pPr>
      <w:r w:rsidRPr="00BA2F8D">
        <w:rPr>
          <w:rFonts w:ascii="Times New Roman" w:hAnsi="Times New Roman" w:cs="Times New Roman"/>
          <w:sz w:val="20"/>
          <w:szCs w:val="20"/>
        </w:rPr>
        <w:t xml:space="preserve">______________________________________________ </w:t>
      </w:r>
      <w:r w:rsidR="00887447" w:rsidRPr="00BA2F8D">
        <w:rPr>
          <w:rFonts w:ascii="Times New Roman" w:hAnsi="Times New Roman" w:cs="Times New Roman"/>
          <w:sz w:val="20"/>
          <w:szCs w:val="20"/>
        </w:rPr>
        <w:t xml:space="preserve">                    </w:t>
      </w:r>
      <w:r w:rsidR="00EF2339" w:rsidRPr="00BA2F8D">
        <w:rPr>
          <w:rFonts w:ascii="Times New Roman" w:hAnsi="Times New Roman" w:cs="Times New Roman"/>
          <w:sz w:val="20"/>
          <w:szCs w:val="20"/>
        </w:rPr>
        <w:tab/>
      </w:r>
      <w:r w:rsidR="00EF2339" w:rsidRPr="00BA2F8D">
        <w:rPr>
          <w:rFonts w:ascii="Times New Roman" w:hAnsi="Times New Roman" w:cs="Times New Roman"/>
          <w:sz w:val="20"/>
          <w:szCs w:val="20"/>
        </w:rPr>
        <w:tab/>
        <w:t>____</w:t>
      </w:r>
      <w:r w:rsidRPr="00BA2F8D">
        <w:rPr>
          <w:rFonts w:ascii="Times New Roman" w:hAnsi="Times New Roman" w:cs="Times New Roman"/>
          <w:sz w:val="20"/>
          <w:szCs w:val="20"/>
        </w:rPr>
        <w:t xml:space="preserve">_________________ </w:t>
      </w:r>
    </w:p>
    <w:p w14:paraId="35A509F0" w14:textId="2B39F0EA" w:rsidR="005750F8" w:rsidRPr="00BA2F8D" w:rsidRDefault="00887447" w:rsidP="00887447">
      <w:pPr>
        <w:spacing w:before="0" w:after="0" w:line="240" w:lineRule="auto"/>
        <w:ind w:left="357"/>
        <w:rPr>
          <w:rFonts w:ascii="Times New Roman" w:hAnsi="Times New Roman" w:cs="Times New Roman"/>
          <w:sz w:val="20"/>
          <w:szCs w:val="20"/>
        </w:rPr>
      </w:pPr>
      <w:r w:rsidRPr="00BA2F8D">
        <w:rPr>
          <w:rFonts w:ascii="Times New Roman" w:hAnsi="Times New Roman" w:cs="Times New Roman"/>
          <w:sz w:val="20"/>
          <w:szCs w:val="20"/>
        </w:rPr>
        <w:t xml:space="preserve">                     </w:t>
      </w:r>
      <w:proofErr w:type="spellStart"/>
      <w:r w:rsidR="00EF2339" w:rsidRPr="00EF2339">
        <w:rPr>
          <w:rFonts w:ascii="Times New Roman" w:hAnsi="Times New Roman" w:cs="Times New Roman"/>
          <w:sz w:val="20"/>
          <w:szCs w:val="20"/>
        </w:rPr>
        <w:t>Adı</w:t>
      </w:r>
      <w:proofErr w:type="spellEnd"/>
      <w:r w:rsidR="00EF2339" w:rsidRPr="00EF2339">
        <w:rPr>
          <w:rFonts w:ascii="Times New Roman" w:hAnsi="Times New Roman" w:cs="Times New Roman"/>
          <w:sz w:val="20"/>
          <w:szCs w:val="20"/>
        </w:rPr>
        <w:t xml:space="preserve"> </w:t>
      </w:r>
      <w:proofErr w:type="spellStart"/>
      <w:r w:rsidR="00EF2339" w:rsidRPr="00EF2339">
        <w:rPr>
          <w:rFonts w:ascii="Times New Roman" w:hAnsi="Times New Roman" w:cs="Times New Roman"/>
          <w:sz w:val="20"/>
          <w:szCs w:val="20"/>
        </w:rPr>
        <w:t>Soyadı</w:t>
      </w:r>
      <w:proofErr w:type="spellEnd"/>
      <w:r w:rsidR="00EF2339" w:rsidRPr="00EF2339">
        <w:rPr>
          <w:rFonts w:ascii="Times New Roman" w:hAnsi="Times New Roman" w:cs="Times New Roman"/>
          <w:sz w:val="20"/>
          <w:szCs w:val="20"/>
        </w:rPr>
        <w:t xml:space="preserve"> (</w:t>
      </w:r>
      <w:proofErr w:type="spellStart"/>
      <w:r w:rsidR="00EF2339" w:rsidRPr="00EF2339">
        <w:rPr>
          <w:rFonts w:ascii="Times New Roman" w:hAnsi="Times New Roman" w:cs="Times New Roman"/>
          <w:sz w:val="20"/>
          <w:szCs w:val="20"/>
        </w:rPr>
        <w:t>varsa</w:t>
      </w:r>
      <w:proofErr w:type="spellEnd"/>
      <w:r w:rsidR="00EF2339" w:rsidRPr="00EF2339">
        <w:rPr>
          <w:rFonts w:ascii="Times New Roman" w:hAnsi="Times New Roman" w:cs="Times New Roman"/>
          <w:sz w:val="20"/>
          <w:szCs w:val="20"/>
        </w:rPr>
        <w:t>)</w:t>
      </w:r>
      <w:r w:rsidRPr="00BA2F8D">
        <w:rPr>
          <w:rFonts w:ascii="Times New Roman" w:hAnsi="Times New Roman" w:cs="Times New Roman"/>
          <w:sz w:val="20"/>
          <w:szCs w:val="20"/>
        </w:rPr>
        <w:tab/>
      </w:r>
      <w:r w:rsidRPr="00BA2F8D">
        <w:rPr>
          <w:rFonts w:ascii="Times New Roman" w:hAnsi="Times New Roman" w:cs="Times New Roman"/>
          <w:sz w:val="20"/>
          <w:szCs w:val="20"/>
        </w:rPr>
        <w:tab/>
      </w:r>
      <w:r w:rsidRPr="00BA2F8D">
        <w:rPr>
          <w:rFonts w:ascii="Times New Roman" w:hAnsi="Times New Roman" w:cs="Times New Roman"/>
          <w:sz w:val="20"/>
          <w:szCs w:val="20"/>
        </w:rPr>
        <w:tab/>
      </w:r>
      <w:r w:rsidR="003C7A8A" w:rsidRPr="00BA2F8D">
        <w:rPr>
          <w:rFonts w:ascii="Times New Roman" w:hAnsi="Times New Roman" w:cs="Times New Roman"/>
          <w:sz w:val="20"/>
          <w:szCs w:val="20"/>
        </w:rPr>
        <w:tab/>
      </w:r>
      <w:r w:rsidR="003C7A8A" w:rsidRPr="00BA2F8D">
        <w:rPr>
          <w:rFonts w:ascii="Times New Roman" w:hAnsi="Times New Roman" w:cs="Times New Roman"/>
          <w:sz w:val="20"/>
          <w:szCs w:val="20"/>
        </w:rPr>
        <w:tab/>
      </w:r>
      <w:r w:rsidR="003C7A8A" w:rsidRPr="00BA2F8D">
        <w:rPr>
          <w:rFonts w:ascii="Times New Roman" w:hAnsi="Times New Roman" w:cs="Times New Roman"/>
          <w:sz w:val="20"/>
          <w:szCs w:val="20"/>
        </w:rPr>
        <w:tab/>
      </w:r>
      <w:r w:rsidR="00EF2339" w:rsidRPr="00BA2F8D">
        <w:rPr>
          <w:rFonts w:ascii="Times New Roman" w:hAnsi="Times New Roman" w:cs="Times New Roman"/>
          <w:sz w:val="20"/>
          <w:szCs w:val="20"/>
        </w:rPr>
        <w:tab/>
      </w:r>
      <w:proofErr w:type="spellStart"/>
      <w:r w:rsidR="00EF2339" w:rsidRPr="00BA2F8D">
        <w:rPr>
          <w:rFonts w:ascii="Times New Roman" w:hAnsi="Times New Roman" w:cs="Times New Roman"/>
          <w:sz w:val="20"/>
          <w:szCs w:val="20"/>
        </w:rPr>
        <w:t>İ</w:t>
      </w:r>
      <w:r w:rsidR="00EF2339" w:rsidRPr="00EF2339">
        <w:rPr>
          <w:rFonts w:ascii="Times New Roman" w:hAnsi="Times New Roman" w:cs="Times New Roman"/>
          <w:sz w:val="20"/>
          <w:szCs w:val="20"/>
        </w:rPr>
        <w:t>mza</w:t>
      </w:r>
      <w:proofErr w:type="spellEnd"/>
      <w:r w:rsidR="007631C0" w:rsidRPr="00BA2F8D">
        <w:rPr>
          <w:rFonts w:ascii="Times New Roman" w:hAnsi="Times New Roman" w:cs="Times New Roman"/>
          <w:sz w:val="20"/>
          <w:szCs w:val="20"/>
        </w:rPr>
        <w:t xml:space="preserve"> </w:t>
      </w:r>
    </w:p>
    <w:p w14:paraId="676DA332" w14:textId="77777777" w:rsidR="005750F8" w:rsidRPr="00BA2F8D" w:rsidRDefault="005750F8" w:rsidP="005750F8">
      <w:pPr>
        <w:ind w:left="360"/>
        <w:rPr>
          <w:rFonts w:ascii="Times New Roman" w:hAnsi="Times New Roman" w:cs="Times New Roman"/>
          <w:sz w:val="24"/>
          <w:szCs w:val="24"/>
        </w:rPr>
      </w:pPr>
    </w:p>
    <w:p w14:paraId="63C30952" w14:textId="1F6D6A05" w:rsidR="00887447" w:rsidRPr="00BA2F8D" w:rsidRDefault="003D0B5B" w:rsidP="005750F8">
      <w:pPr>
        <w:ind w:left="360"/>
        <w:rPr>
          <w:rFonts w:ascii="Times New Roman" w:hAnsi="Times New Roman" w:cs="Times New Roman"/>
          <w:b/>
          <w:bCs/>
          <w:sz w:val="24"/>
          <w:szCs w:val="24"/>
        </w:rPr>
      </w:pPr>
      <w:proofErr w:type="spellStart"/>
      <w:r w:rsidRPr="003D0B5B">
        <w:rPr>
          <w:rFonts w:ascii="Times New Roman" w:hAnsi="Times New Roman" w:cs="Times New Roman"/>
          <w:b/>
          <w:bCs/>
          <w:sz w:val="24"/>
          <w:szCs w:val="24"/>
        </w:rPr>
        <w:t>Bilgilenmiş</w:t>
      </w:r>
      <w:proofErr w:type="spellEnd"/>
      <w:r w:rsidRPr="003D0B5B">
        <w:rPr>
          <w:rFonts w:ascii="Times New Roman" w:hAnsi="Times New Roman" w:cs="Times New Roman"/>
          <w:b/>
          <w:bCs/>
          <w:sz w:val="24"/>
          <w:szCs w:val="24"/>
        </w:rPr>
        <w:t>/</w:t>
      </w:r>
      <w:proofErr w:type="spellStart"/>
      <w:r>
        <w:rPr>
          <w:rFonts w:ascii="Times New Roman" w:hAnsi="Times New Roman" w:cs="Times New Roman"/>
          <w:b/>
          <w:bCs/>
          <w:sz w:val="24"/>
          <w:szCs w:val="24"/>
        </w:rPr>
        <w:t>A</w:t>
      </w:r>
      <w:r w:rsidRPr="003D0B5B">
        <w:rPr>
          <w:rFonts w:ascii="Times New Roman" w:hAnsi="Times New Roman" w:cs="Times New Roman"/>
          <w:b/>
          <w:bCs/>
          <w:sz w:val="24"/>
          <w:szCs w:val="24"/>
        </w:rPr>
        <w:t>lmış</w:t>
      </w:r>
      <w:proofErr w:type="spellEnd"/>
      <w:r w:rsidR="007631C0" w:rsidRPr="00BA2F8D">
        <w:rPr>
          <w:rFonts w:ascii="Times New Roman" w:hAnsi="Times New Roman" w:cs="Times New Roman"/>
          <w:b/>
          <w:bCs/>
          <w:sz w:val="24"/>
          <w:szCs w:val="24"/>
        </w:rPr>
        <w:t xml:space="preserve">* </w:t>
      </w:r>
    </w:p>
    <w:p w14:paraId="3A6495F3" w14:textId="3E755DB2" w:rsidR="00887447" w:rsidRPr="00BA2F8D" w:rsidRDefault="007631C0" w:rsidP="00887447">
      <w:pPr>
        <w:spacing w:before="0" w:after="0" w:line="240" w:lineRule="auto"/>
        <w:ind w:left="357"/>
        <w:rPr>
          <w:rFonts w:ascii="Times New Roman" w:hAnsi="Times New Roman" w:cs="Times New Roman"/>
          <w:sz w:val="24"/>
          <w:szCs w:val="24"/>
        </w:rPr>
      </w:pPr>
      <w:r w:rsidRPr="00BA2F8D">
        <w:rPr>
          <w:rFonts w:ascii="Times New Roman" w:hAnsi="Times New Roman" w:cs="Times New Roman"/>
          <w:sz w:val="24"/>
          <w:szCs w:val="24"/>
        </w:rPr>
        <w:t xml:space="preserve">______________________________________________ </w:t>
      </w:r>
      <w:r w:rsidR="00887447" w:rsidRPr="00BA2F8D">
        <w:rPr>
          <w:rFonts w:ascii="Times New Roman" w:hAnsi="Times New Roman" w:cs="Times New Roman"/>
          <w:sz w:val="24"/>
          <w:szCs w:val="24"/>
        </w:rPr>
        <w:t xml:space="preserve">                    </w:t>
      </w:r>
      <w:r w:rsidRPr="00BA2F8D">
        <w:rPr>
          <w:rFonts w:ascii="Times New Roman" w:hAnsi="Times New Roman" w:cs="Times New Roman"/>
          <w:sz w:val="24"/>
          <w:szCs w:val="24"/>
        </w:rPr>
        <w:t xml:space="preserve">_________________ </w:t>
      </w:r>
    </w:p>
    <w:p w14:paraId="3E7636CA" w14:textId="575B9713" w:rsidR="005750F8" w:rsidRPr="00EF2339" w:rsidRDefault="00887447" w:rsidP="00887447">
      <w:pPr>
        <w:spacing w:before="0" w:after="0" w:line="240" w:lineRule="auto"/>
        <w:ind w:left="357"/>
        <w:rPr>
          <w:rFonts w:ascii="Times New Roman" w:hAnsi="Times New Roman" w:cs="Times New Roman"/>
          <w:sz w:val="18"/>
          <w:szCs w:val="18"/>
        </w:rPr>
      </w:pPr>
      <w:r w:rsidRPr="00EF2339">
        <w:rPr>
          <w:rFonts w:ascii="Times New Roman" w:hAnsi="Times New Roman" w:cs="Times New Roman"/>
          <w:sz w:val="18"/>
          <w:szCs w:val="18"/>
        </w:rPr>
        <w:t xml:space="preserve">            </w:t>
      </w:r>
      <w:proofErr w:type="spellStart"/>
      <w:r w:rsidR="00EF2339" w:rsidRPr="00EF2339">
        <w:rPr>
          <w:rFonts w:ascii="Times New Roman" w:hAnsi="Times New Roman" w:cs="Times New Roman"/>
          <w:sz w:val="20"/>
          <w:szCs w:val="20"/>
        </w:rPr>
        <w:t>Mevduat</w:t>
      </w:r>
      <w:proofErr w:type="spellEnd"/>
      <w:r w:rsidR="00EF2339" w:rsidRPr="00EF2339">
        <w:rPr>
          <w:rFonts w:ascii="Times New Roman" w:hAnsi="Times New Roman" w:cs="Times New Roman"/>
          <w:sz w:val="20"/>
          <w:szCs w:val="20"/>
        </w:rPr>
        <w:t xml:space="preserve"> </w:t>
      </w:r>
      <w:proofErr w:type="spellStart"/>
      <w:r w:rsidR="00EF2339" w:rsidRPr="00EF2339">
        <w:rPr>
          <w:rFonts w:ascii="Times New Roman" w:hAnsi="Times New Roman" w:cs="Times New Roman"/>
          <w:sz w:val="20"/>
          <w:szCs w:val="20"/>
        </w:rPr>
        <w:t>Sahibinin</w:t>
      </w:r>
      <w:proofErr w:type="spellEnd"/>
      <w:r w:rsidR="00EF2339" w:rsidRPr="00EF2339">
        <w:rPr>
          <w:rFonts w:ascii="Times New Roman" w:hAnsi="Times New Roman" w:cs="Times New Roman"/>
          <w:sz w:val="20"/>
          <w:szCs w:val="20"/>
        </w:rPr>
        <w:t xml:space="preserve"> </w:t>
      </w:r>
      <w:proofErr w:type="spellStart"/>
      <w:r w:rsidR="00EF2339" w:rsidRPr="00EF2339">
        <w:rPr>
          <w:rFonts w:ascii="Times New Roman" w:hAnsi="Times New Roman" w:cs="Times New Roman"/>
          <w:sz w:val="20"/>
          <w:szCs w:val="20"/>
        </w:rPr>
        <w:t>Adı</w:t>
      </w:r>
      <w:proofErr w:type="spellEnd"/>
      <w:r w:rsidR="00EF2339" w:rsidRPr="00EF2339">
        <w:rPr>
          <w:rFonts w:ascii="Times New Roman" w:hAnsi="Times New Roman" w:cs="Times New Roman"/>
          <w:sz w:val="20"/>
          <w:szCs w:val="20"/>
        </w:rPr>
        <w:t xml:space="preserve"> </w:t>
      </w:r>
      <w:proofErr w:type="spellStart"/>
      <w:r w:rsidR="00EF2339" w:rsidRPr="00EF2339">
        <w:rPr>
          <w:rFonts w:ascii="Times New Roman" w:hAnsi="Times New Roman" w:cs="Times New Roman"/>
          <w:sz w:val="20"/>
          <w:szCs w:val="20"/>
        </w:rPr>
        <w:t>Soyadı</w:t>
      </w:r>
      <w:proofErr w:type="spellEnd"/>
      <w:r w:rsidR="00EF2339" w:rsidRPr="00EF2339">
        <w:rPr>
          <w:rFonts w:ascii="Times New Roman" w:hAnsi="Times New Roman" w:cs="Times New Roman"/>
          <w:sz w:val="20"/>
          <w:szCs w:val="20"/>
        </w:rPr>
        <w:t xml:space="preserve"> (</w:t>
      </w:r>
      <w:proofErr w:type="spellStart"/>
      <w:r w:rsidR="00EF2339" w:rsidRPr="00EF2339">
        <w:rPr>
          <w:rFonts w:ascii="Times New Roman" w:hAnsi="Times New Roman" w:cs="Times New Roman"/>
          <w:sz w:val="20"/>
          <w:szCs w:val="20"/>
        </w:rPr>
        <w:t>varsa</w:t>
      </w:r>
      <w:proofErr w:type="spellEnd"/>
      <w:r w:rsidR="00EF2339" w:rsidRPr="00EF2339">
        <w:rPr>
          <w:rFonts w:ascii="Times New Roman" w:hAnsi="Times New Roman" w:cs="Times New Roman"/>
          <w:sz w:val="20"/>
          <w:szCs w:val="20"/>
        </w:rPr>
        <w:t>)</w:t>
      </w:r>
      <w:r w:rsidRPr="00EF2339">
        <w:rPr>
          <w:rFonts w:ascii="Times New Roman" w:hAnsi="Times New Roman" w:cs="Times New Roman"/>
          <w:sz w:val="18"/>
          <w:szCs w:val="18"/>
        </w:rPr>
        <w:tab/>
      </w:r>
      <w:r w:rsidRPr="00EF2339">
        <w:rPr>
          <w:rFonts w:ascii="Times New Roman" w:hAnsi="Times New Roman" w:cs="Times New Roman"/>
          <w:sz w:val="18"/>
          <w:szCs w:val="18"/>
        </w:rPr>
        <w:tab/>
      </w:r>
      <w:r w:rsidRPr="00EF2339">
        <w:rPr>
          <w:rFonts w:ascii="Times New Roman" w:hAnsi="Times New Roman" w:cs="Times New Roman"/>
          <w:sz w:val="18"/>
          <w:szCs w:val="18"/>
        </w:rPr>
        <w:tab/>
        <w:t xml:space="preserve">                      </w:t>
      </w:r>
      <w:r w:rsidR="003C7A8A" w:rsidRPr="00EF2339">
        <w:rPr>
          <w:rFonts w:ascii="Times New Roman" w:hAnsi="Times New Roman" w:cs="Times New Roman"/>
          <w:sz w:val="18"/>
          <w:szCs w:val="18"/>
        </w:rPr>
        <w:tab/>
      </w:r>
      <w:r w:rsidR="003C7A8A" w:rsidRPr="00EF2339">
        <w:rPr>
          <w:rFonts w:ascii="Times New Roman" w:hAnsi="Times New Roman" w:cs="Times New Roman"/>
          <w:sz w:val="18"/>
          <w:szCs w:val="18"/>
        </w:rPr>
        <w:tab/>
      </w:r>
      <w:proofErr w:type="spellStart"/>
      <w:r w:rsidR="00EF2339" w:rsidRPr="00EF2339">
        <w:rPr>
          <w:rFonts w:ascii="Times New Roman" w:hAnsi="Times New Roman" w:cs="Times New Roman"/>
          <w:sz w:val="20"/>
          <w:szCs w:val="20"/>
        </w:rPr>
        <w:t>İmza</w:t>
      </w:r>
      <w:proofErr w:type="spellEnd"/>
      <w:r w:rsidR="007631C0" w:rsidRPr="00EF2339">
        <w:rPr>
          <w:rFonts w:ascii="Times New Roman" w:hAnsi="Times New Roman" w:cs="Times New Roman"/>
          <w:sz w:val="18"/>
          <w:szCs w:val="18"/>
        </w:rPr>
        <w:t xml:space="preserve"> </w:t>
      </w:r>
    </w:p>
    <w:p w14:paraId="78B22047" w14:textId="407DCBAC" w:rsidR="005750F8" w:rsidRPr="00EF2339" w:rsidRDefault="005750F8" w:rsidP="005750F8">
      <w:pPr>
        <w:ind w:left="360"/>
        <w:rPr>
          <w:rFonts w:ascii="Times New Roman" w:hAnsi="Times New Roman" w:cs="Times New Roman"/>
          <w:sz w:val="24"/>
          <w:szCs w:val="24"/>
        </w:rPr>
      </w:pPr>
    </w:p>
    <w:p w14:paraId="34FB5A87" w14:textId="77777777" w:rsidR="00EF2339" w:rsidRPr="00EF2339" w:rsidRDefault="00EF2339" w:rsidP="005750F8">
      <w:pPr>
        <w:ind w:left="360"/>
        <w:rPr>
          <w:rFonts w:ascii="Times New Roman" w:hAnsi="Times New Roman" w:cs="Times New Roman"/>
          <w:sz w:val="24"/>
          <w:szCs w:val="24"/>
        </w:rPr>
      </w:pPr>
    </w:p>
    <w:p w14:paraId="4C619DED" w14:textId="0BC94893" w:rsidR="00BB7F61" w:rsidRPr="00BA2F8D" w:rsidRDefault="00EF2339" w:rsidP="00EF2339">
      <w:pPr>
        <w:autoSpaceDE w:val="0"/>
        <w:autoSpaceDN w:val="0"/>
        <w:adjustRightInd w:val="0"/>
        <w:spacing w:before="0" w:after="0" w:line="240" w:lineRule="auto"/>
        <w:rPr>
          <w:rFonts w:ascii="Times New Roman" w:hAnsi="Times New Roman" w:cs="Times New Roman"/>
          <w:i/>
          <w:iCs/>
          <w:sz w:val="12"/>
          <w:szCs w:val="12"/>
        </w:rPr>
      </w:pPr>
      <w:r w:rsidRPr="00BA2F8D">
        <w:rPr>
          <w:rFonts w:ascii="Times New Roman" w:hAnsi="Times New Roman" w:cs="Times New Roman"/>
          <w:i/>
          <w:iCs/>
          <w:sz w:val="18"/>
          <w:szCs w:val="18"/>
        </w:rPr>
        <w:t xml:space="preserve">* </w:t>
      </w:r>
      <w:r w:rsidR="003D0B5B" w:rsidRPr="003D0B5B">
        <w:rPr>
          <w:rFonts w:ascii="Times New Roman" w:hAnsi="Times New Roman" w:cs="Times New Roman"/>
          <w:i/>
          <w:iCs/>
          <w:sz w:val="18"/>
          <w:szCs w:val="18"/>
        </w:rPr>
        <w:t xml:space="preserve">Banka ve </w:t>
      </w:r>
      <w:proofErr w:type="spellStart"/>
      <w:r w:rsidR="003D0B5B" w:rsidRPr="003D0B5B">
        <w:rPr>
          <w:rFonts w:ascii="Times New Roman" w:hAnsi="Times New Roman" w:cs="Times New Roman"/>
          <w:i/>
          <w:iCs/>
          <w:sz w:val="18"/>
          <w:szCs w:val="18"/>
        </w:rPr>
        <w:t>mevduat</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sahibi</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arasında</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yapılan</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bu</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bildirimin</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imzalanması</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Banka'nın</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mevduat</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sahibine</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banka</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hesabı</w:t>
      </w:r>
      <w:proofErr w:type="spellEnd"/>
      <w:r w:rsidR="003D0B5B" w:rsidRPr="003D0B5B">
        <w:rPr>
          <w:rFonts w:ascii="Times New Roman" w:hAnsi="Times New Roman" w:cs="Times New Roman"/>
          <w:i/>
          <w:iCs/>
          <w:sz w:val="18"/>
          <w:szCs w:val="18"/>
        </w:rPr>
        <w:t xml:space="preserve"> ve/</w:t>
      </w:r>
      <w:proofErr w:type="spellStart"/>
      <w:r w:rsidR="003D0B5B" w:rsidRPr="003D0B5B">
        <w:rPr>
          <w:rFonts w:ascii="Times New Roman" w:hAnsi="Times New Roman" w:cs="Times New Roman"/>
          <w:i/>
          <w:iCs/>
          <w:sz w:val="18"/>
          <w:szCs w:val="18"/>
        </w:rPr>
        <w:t>veya</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banka</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mevduatı</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sözleşmelerinde</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öngörülen</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başka</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bir</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yolla</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bildirimde</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bulunması</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durumunda</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gerekli</w:t>
      </w:r>
      <w:proofErr w:type="spellEnd"/>
      <w:r w:rsidR="003D0B5B" w:rsidRPr="003D0B5B">
        <w:rPr>
          <w:rFonts w:ascii="Times New Roman" w:hAnsi="Times New Roman" w:cs="Times New Roman"/>
          <w:i/>
          <w:iCs/>
          <w:sz w:val="18"/>
          <w:szCs w:val="18"/>
        </w:rPr>
        <w:t xml:space="preserve"> </w:t>
      </w:r>
      <w:proofErr w:type="spellStart"/>
      <w:r w:rsidR="003D0B5B" w:rsidRPr="003D0B5B">
        <w:rPr>
          <w:rFonts w:ascii="Times New Roman" w:hAnsi="Times New Roman" w:cs="Times New Roman"/>
          <w:i/>
          <w:iCs/>
          <w:sz w:val="18"/>
          <w:szCs w:val="18"/>
        </w:rPr>
        <w:t>değildir</w:t>
      </w:r>
      <w:proofErr w:type="spellEnd"/>
      <w:r w:rsidR="003D0B5B" w:rsidRPr="003D0B5B">
        <w:rPr>
          <w:rFonts w:ascii="Times New Roman" w:hAnsi="Times New Roman" w:cs="Times New Roman"/>
          <w:i/>
          <w:iCs/>
          <w:sz w:val="18"/>
          <w:szCs w:val="18"/>
        </w:rPr>
        <w:t>.</w:t>
      </w:r>
    </w:p>
    <w:sectPr w:rsidR="00BB7F61" w:rsidRPr="00BA2F8D" w:rsidSect="00BD57DD">
      <w:pgSz w:w="11906" w:h="16838"/>
      <w:pgMar w:top="993"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9FC7" w14:textId="77777777" w:rsidR="00BD57DD" w:rsidRDefault="00BD57DD" w:rsidP="00BD57DD">
      <w:pPr>
        <w:spacing w:before="0" w:after="0" w:line="240" w:lineRule="auto"/>
      </w:pPr>
      <w:r>
        <w:separator/>
      </w:r>
    </w:p>
  </w:endnote>
  <w:endnote w:type="continuationSeparator" w:id="0">
    <w:p w14:paraId="464E4FB5" w14:textId="77777777" w:rsidR="00BD57DD" w:rsidRDefault="00BD57DD" w:rsidP="00BD57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CAA8" w14:textId="77777777" w:rsidR="00BD57DD" w:rsidRDefault="00BD57DD" w:rsidP="00BD57DD">
      <w:pPr>
        <w:spacing w:before="0" w:after="0" w:line="240" w:lineRule="auto"/>
      </w:pPr>
      <w:r>
        <w:separator/>
      </w:r>
    </w:p>
  </w:footnote>
  <w:footnote w:type="continuationSeparator" w:id="0">
    <w:p w14:paraId="5CB43AC3" w14:textId="77777777" w:rsidR="00BD57DD" w:rsidRDefault="00BD57DD" w:rsidP="00BD57D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4763"/>
    <w:multiLevelType w:val="hybridMultilevel"/>
    <w:tmpl w:val="63DC632C"/>
    <w:lvl w:ilvl="0" w:tplc="FFB67148">
      <w:start w:val="1"/>
      <w:numFmt w:val="decimal"/>
      <w:lvlText w:val="%1."/>
      <w:lvlJc w:val="left"/>
      <w:pPr>
        <w:ind w:left="2844" w:hanging="360"/>
      </w:pPr>
      <w:rPr>
        <w:rFonts w:hint="default"/>
        <w:sz w:val="24"/>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 w15:restartNumberingAfterBreak="0">
    <w:nsid w:val="6636775D"/>
    <w:multiLevelType w:val="multilevel"/>
    <w:tmpl w:val="0464B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11"/>
    <w:rsid w:val="0021410D"/>
    <w:rsid w:val="0021564A"/>
    <w:rsid w:val="00295DBC"/>
    <w:rsid w:val="00322A2D"/>
    <w:rsid w:val="003C7A8A"/>
    <w:rsid w:val="003D0B5B"/>
    <w:rsid w:val="004B21E9"/>
    <w:rsid w:val="00503DC3"/>
    <w:rsid w:val="005750F8"/>
    <w:rsid w:val="00706608"/>
    <w:rsid w:val="007631C0"/>
    <w:rsid w:val="0082251C"/>
    <w:rsid w:val="00887447"/>
    <w:rsid w:val="00AE013E"/>
    <w:rsid w:val="00BA2F8D"/>
    <w:rsid w:val="00BB7F61"/>
    <w:rsid w:val="00BD57DD"/>
    <w:rsid w:val="00CD5606"/>
    <w:rsid w:val="00DE4E6E"/>
    <w:rsid w:val="00EF2339"/>
    <w:rsid w:val="00EF74F9"/>
    <w:rsid w:val="00F35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C22E"/>
  <w15:chartTrackingRefBased/>
  <w15:docId w15:val="{D09B5792-5634-424B-8478-33B2CFFB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2A2D"/>
    <w:pPr>
      <w:spacing w:before="120" w:after="240"/>
      <w:jc w:val="both"/>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rsid w:val="00322A2D"/>
    <w:rPr>
      <w:rFonts w:eastAsiaTheme="minorEastAsia"/>
      <w:lang w:eastAsia="ru-RU"/>
    </w:rPr>
    <w:tblPr>
      <w:tblInd w:w="0" w:type="dxa"/>
      <w:tblCellMar>
        <w:top w:w="0" w:type="dxa"/>
        <w:left w:w="108" w:type="dxa"/>
        <w:bottom w:w="0" w:type="dxa"/>
        <w:right w:w="0" w:type="dxa"/>
      </w:tblCellMar>
    </w:tblPr>
  </w:style>
  <w:style w:type="paragraph" w:customStyle="1" w:styleId="1">
    <w:name w:val="Нет списка1"/>
    <w:semiHidden/>
    <w:rsid w:val="00322A2D"/>
    <w:rPr>
      <w:rFonts w:eastAsiaTheme="minorEastAsia"/>
      <w:lang w:eastAsia="ru-RU"/>
    </w:rPr>
  </w:style>
  <w:style w:type="paragraph" w:styleId="a3">
    <w:name w:val="List Paragraph"/>
    <w:basedOn w:val="a"/>
    <w:uiPriority w:val="34"/>
    <w:qFormat/>
    <w:rsid w:val="00322A2D"/>
    <w:pPr>
      <w:ind w:left="720"/>
      <w:contextualSpacing/>
    </w:pPr>
  </w:style>
  <w:style w:type="character" w:styleId="a4">
    <w:name w:val="Hyperlink"/>
    <w:basedOn w:val="a0"/>
    <w:uiPriority w:val="99"/>
    <w:unhideWhenUsed/>
    <w:rsid w:val="00DE4E6E"/>
    <w:rPr>
      <w:color w:val="0563C1" w:themeColor="hyperlink"/>
      <w:u w:val="single"/>
    </w:rPr>
  </w:style>
  <w:style w:type="character" w:styleId="a5">
    <w:name w:val="Unresolved Mention"/>
    <w:basedOn w:val="a0"/>
    <w:uiPriority w:val="99"/>
    <w:semiHidden/>
    <w:unhideWhenUsed/>
    <w:rsid w:val="00DE4E6E"/>
    <w:rPr>
      <w:color w:val="605E5C"/>
      <w:shd w:val="clear" w:color="auto" w:fill="E1DFDD"/>
    </w:rPr>
  </w:style>
  <w:style w:type="paragraph" w:styleId="a6">
    <w:name w:val="footnote text"/>
    <w:basedOn w:val="a"/>
    <w:link w:val="a7"/>
    <w:uiPriority w:val="99"/>
    <w:semiHidden/>
    <w:unhideWhenUsed/>
    <w:rsid w:val="00BD57DD"/>
    <w:pPr>
      <w:spacing w:before="0" w:after="0" w:line="240" w:lineRule="auto"/>
    </w:pPr>
    <w:rPr>
      <w:sz w:val="20"/>
      <w:szCs w:val="20"/>
    </w:rPr>
  </w:style>
  <w:style w:type="character" w:customStyle="1" w:styleId="a7">
    <w:name w:val="Текст сноски Знак"/>
    <w:basedOn w:val="a0"/>
    <w:link w:val="a6"/>
    <w:uiPriority w:val="99"/>
    <w:semiHidden/>
    <w:rsid w:val="00BD57DD"/>
    <w:rPr>
      <w:rFonts w:eastAsiaTheme="minorEastAsia"/>
      <w:sz w:val="20"/>
      <w:szCs w:val="20"/>
      <w:lang w:val="en-US"/>
    </w:rPr>
  </w:style>
  <w:style w:type="character" w:styleId="a8">
    <w:name w:val="footnote reference"/>
    <w:basedOn w:val="a0"/>
    <w:uiPriority w:val="99"/>
    <w:semiHidden/>
    <w:unhideWhenUsed/>
    <w:rsid w:val="00BD57DD"/>
    <w:rPr>
      <w:vertAlign w:val="superscript"/>
    </w:rPr>
  </w:style>
  <w:style w:type="character" w:styleId="a9">
    <w:name w:val="annotation reference"/>
    <w:basedOn w:val="a0"/>
    <w:uiPriority w:val="99"/>
    <w:semiHidden/>
    <w:unhideWhenUsed/>
    <w:rsid w:val="00503DC3"/>
    <w:rPr>
      <w:sz w:val="16"/>
      <w:szCs w:val="16"/>
    </w:rPr>
  </w:style>
  <w:style w:type="paragraph" w:styleId="aa">
    <w:name w:val="annotation text"/>
    <w:basedOn w:val="a"/>
    <w:link w:val="ab"/>
    <w:uiPriority w:val="99"/>
    <w:semiHidden/>
    <w:unhideWhenUsed/>
    <w:rsid w:val="00503DC3"/>
    <w:pPr>
      <w:spacing w:line="240" w:lineRule="auto"/>
    </w:pPr>
    <w:rPr>
      <w:sz w:val="20"/>
      <w:szCs w:val="20"/>
    </w:rPr>
  </w:style>
  <w:style w:type="character" w:customStyle="1" w:styleId="ab">
    <w:name w:val="Текст примечания Знак"/>
    <w:basedOn w:val="a0"/>
    <w:link w:val="aa"/>
    <w:uiPriority w:val="99"/>
    <w:semiHidden/>
    <w:rsid w:val="00503DC3"/>
    <w:rPr>
      <w:rFonts w:eastAsiaTheme="minorEastAsia"/>
      <w:sz w:val="20"/>
      <w:szCs w:val="20"/>
      <w:lang w:val="en-US"/>
    </w:rPr>
  </w:style>
  <w:style w:type="paragraph" w:styleId="ac">
    <w:name w:val="annotation subject"/>
    <w:basedOn w:val="aa"/>
    <w:next w:val="aa"/>
    <w:link w:val="ad"/>
    <w:uiPriority w:val="99"/>
    <w:semiHidden/>
    <w:unhideWhenUsed/>
    <w:rsid w:val="00503DC3"/>
    <w:rPr>
      <w:b/>
      <w:bCs/>
    </w:rPr>
  </w:style>
  <w:style w:type="character" w:customStyle="1" w:styleId="ad">
    <w:name w:val="Тема примечания Знак"/>
    <w:basedOn w:val="ab"/>
    <w:link w:val="ac"/>
    <w:uiPriority w:val="99"/>
    <w:semiHidden/>
    <w:rsid w:val="00503DC3"/>
    <w:rPr>
      <w:rFonts w:eastAsiaTheme="minorEastAsia"/>
      <w:b/>
      <w:bCs/>
      <w:sz w:val="20"/>
      <w:szCs w:val="20"/>
      <w:lang w:val="en-US"/>
    </w:rPr>
  </w:style>
  <w:style w:type="paragraph" w:styleId="ae">
    <w:name w:val="Normal (Web)"/>
    <w:basedOn w:val="a"/>
    <w:uiPriority w:val="99"/>
    <w:unhideWhenUsed/>
    <w:rsid w:val="00503DC3"/>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styleId="af">
    <w:name w:val="Strong"/>
    <w:basedOn w:val="a0"/>
    <w:uiPriority w:val="22"/>
    <w:qFormat/>
    <w:rsid w:val="00503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35184">
      <w:bodyDiv w:val="1"/>
      <w:marLeft w:val="0"/>
      <w:marRight w:val="0"/>
      <w:marTop w:val="0"/>
      <w:marBottom w:val="0"/>
      <w:divBdr>
        <w:top w:val="none" w:sz="0" w:space="0" w:color="auto"/>
        <w:left w:val="none" w:sz="0" w:space="0" w:color="auto"/>
        <w:bottom w:val="none" w:sz="0" w:space="0" w:color="auto"/>
        <w:right w:val="none" w:sz="0" w:space="0" w:color="auto"/>
      </w:divBdr>
    </w:div>
    <w:div w:id="1481531896">
      <w:bodyDiv w:val="1"/>
      <w:marLeft w:val="0"/>
      <w:marRight w:val="0"/>
      <w:marTop w:val="0"/>
      <w:marBottom w:val="0"/>
      <w:divBdr>
        <w:top w:val="none" w:sz="0" w:space="0" w:color="auto"/>
        <w:left w:val="none" w:sz="0" w:space="0" w:color="auto"/>
        <w:bottom w:val="none" w:sz="0" w:space="0" w:color="auto"/>
        <w:right w:val="none" w:sz="0" w:space="0" w:color="auto"/>
      </w:divBdr>
    </w:div>
    <w:div w:id="1570504849">
      <w:bodyDiv w:val="1"/>
      <w:marLeft w:val="0"/>
      <w:marRight w:val="0"/>
      <w:marTop w:val="0"/>
      <w:marBottom w:val="0"/>
      <w:divBdr>
        <w:top w:val="none" w:sz="0" w:space="0" w:color="auto"/>
        <w:left w:val="none" w:sz="0" w:space="0" w:color="auto"/>
        <w:bottom w:val="none" w:sz="0" w:space="0" w:color="auto"/>
        <w:right w:val="none" w:sz="0" w:space="0" w:color="auto"/>
      </w:divBdr>
    </w:div>
    <w:div w:id="17872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9AAC-53C2-4D03-B2EB-E75E96D1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2</Pages>
  <Words>883</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Zhandos Kustutinov (KZI BANK)</dc:creator>
  <cp:keywords/>
  <dc:description/>
  <cp:lastModifiedBy>Zhandos Kustutinov (KZI BANK)</cp:lastModifiedBy>
  <cp:revision>16</cp:revision>
  <dcterms:created xsi:type="dcterms:W3CDTF">2026-01-20T10:33:00Z</dcterms:created>
  <dcterms:modified xsi:type="dcterms:W3CDTF">2026-04-03T11:44:00Z</dcterms:modified>
</cp:coreProperties>
</file>